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51BAB430" w14:textId="3822B0D8" w:rsidR="00FD670D" w:rsidRPr="00BA5117" w:rsidRDefault="00FD670D" w:rsidP="00FD670D">
      <w:pPr>
        <w:pStyle w:val="En-tte"/>
        <w:tabs>
          <w:tab w:val="clear" w:pos="4536"/>
          <w:tab w:val="clear" w:pos="9072"/>
        </w:tabs>
        <w:spacing w:after="160" w:line="259" w:lineRule="auto"/>
        <w:jc w:val="center"/>
        <w:rPr>
          <w:rFonts w:ascii="Arial Narrow" w:hAnsi="Arial Narrow"/>
          <w:sz w:val="28"/>
          <w:szCs w:val="28"/>
        </w:rPr>
      </w:pPr>
      <w:r w:rsidRPr="00BA5117">
        <w:rPr>
          <w:rFonts w:ascii="Arial Narrow" w:hAnsi="Arial Narrow"/>
          <w:sz w:val="28"/>
          <w:szCs w:val="28"/>
        </w:rPr>
        <w:t>Marché n</w:t>
      </w:r>
      <w:r w:rsidRPr="0007478F">
        <w:rPr>
          <w:rFonts w:ascii="Arial Narrow" w:hAnsi="Arial Narrow"/>
          <w:b/>
          <w:sz w:val="28"/>
          <w:szCs w:val="28"/>
        </w:rPr>
        <w:t>°2025-</w:t>
      </w:r>
      <w:r w:rsidR="00B535C1">
        <w:rPr>
          <w:rFonts w:ascii="Arial Narrow" w:hAnsi="Arial Narrow"/>
          <w:b/>
          <w:sz w:val="28"/>
          <w:szCs w:val="28"/>
        </w:rPr>
        <w:t>237</w:t>
      </w:r>
    </w:p>
    <w:p w14:paraId="029F744D" w14:textId="77777777" w:rsidR="00FD670D" w:rsidRPr="00546FE0" w:rsidRDefault="00FD670D" w:rsidP="00FD670D">
      <w:pPr>
        <w:pStyle w:val="En-tte"/>
        <w:tabs>
          <w:tab w:val="clear" w:pos="4536"/>
          <w:tab w:val="clear" w:pos="9072"/>
        </w:tabs>
        <w:spacing w:after="160" w:line="259" w:lineRule="auto"/>
        <w:rPr>
          <w:rFonts w:ascii="Arial Narrow" w:hAnsi="Arial Narrow"/>
        </w:rPr>
      </w:pPr>
    </w:p>
    <w:p w14:paraId="40282945" w14:textId="653C49AE" w:rsidR="00B535C1" w:rsidRPr="00B535C1" w:rsidRDefault="0040037F" w:rsidP="00B535C1">
      <w:pPr>
        <w:pStyle w:val="En-tte"/>
        <w:jc w:val="center"/>
        <w:rPr>
          <w:rFonts w:ascii="Arial Narrow" w:hAnsi="Arial Narrow"/>
          <w:sz w:val="28"/>
          <w:szCs w:val="28"/>
        </w:rPr>
      </w:pPr>
      <w:r>
        <w:rPr>
          <w:rFonts w:ascii="Arial Narrow" w:hAnsi="Arial Narrow"/>
          <w:sz w:val="28"/>
          <w:szCs w:val="28"/>
        </w:rPr>
        <w:t>Marché de fourniture</w:t>
      </w:r>
      <w:r w:rsidR="00B535C1" w:rsidRPr="00B535C1">
        <w:rPr>
          <w:rFonts w:ascii="Arial Narrow" w:hAnsi="Arial Narrow"/>
          <w:sz w:val="28"/>
          <w:szCs w:val="28"/>
        </w:rPr>
        <w:t xml:space="preserve"> d’éclairage pour l’EPMO -VGE</w:t>
      </w:r>
    </w:p>
    <w:p w14:paraId="55D22CE8" w14:textId="64F90A29"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200745AB"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8-05T00:00:00Z">
                  <w:dateFormat w:val="dddd d MMMM yyyy"/>
                  <w:lid w:val="fr-FR"/>
                  <w:storeMappedDataAs w:val="dateTime"/>
                  <w:calendar w:val="gregorian"/>
                </w:date>
              </w:sdtPr>
              <w:sdtEndPr/>
              <w:sdtContent>
                <w:r w:rsidR="00135CB5">
                  <w:rPr>
                    <w:rFonts w:ascii="Arial Narrow" w:hAnsi="Arial Narrow"/>
                    <w:b/>
                    <w:sz w:val="28"/>
                    <w:szCs w:val="28"/>
                    <w:highlight w:val="yellow"/>
                  </w:rPr>
                  <w:t>mardi 5 août 2025</w:t>
                </w:r>
              </w:sdtContent>
            </w:sdt>
            <w:r w:rsidRPr="003C2373">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3C2373">
                  <w:rPr>
                    <w:rFonts w:ascii="Arial Narrow" w:hAnsi="Arial Narrow"/>
                    <w:b/>
                    <w:sz w:val="28"/>
                    <w:szCs w:val="28"/>
                    <w:highlight w:val="yellow"/>
                  </w:rPr>
                  <w:t>1</w:t>
                </w:r>
                <w:r w:rsidR="00057D51" w:rsidRPr="003C2373">
                  <w:rPr>
                    <w:rFonts w:ascii="Arial Narrow" w:hAnsi="Arial Narrow"/>
                    <w:b/>
                    <w:sz w:val="28"/>
                    <w:szCs w:val="28"/>
                    <w:highlight w:val="yellow"/>
                  </w:rPr>
                  <w:t>0</w:t>
                </w:r>
                <w:r w:rsidRPr="003C2373">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0419D99C"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13840">
                  <w:rPr>
                    <w:rFonts w:ascii="Arial Narrow" w:hAnsi="Arial Narrow"/>
                    <w:sz w:val="22"/>
                    <w:szCs w:val="22"/>
                  </w:rPr>
                  <w:t>Services</w:t>
                </w:r>
              </w:sdtContent>
            </w:sdt>
          </w:p>
          <w:p w14:paraId="30DF2B6F" w14:textId="73458AE2"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41E74">
                  <w:rPr>
                    <w:rFonts w:ascii="Arial Narrow" w:hAnsi="Arial Narrow"/>
                  </w:rPr>
                  <w:t>Procédure d’appel d’offres ouvert en application des dispositions de l’article L.</w:t>
                </w:r>
                <w:r w:rsidR="000E62F3">
                  <w:rPr>
                    <w:rFonts w:ascii="Arial Narrow" w:hAnsi="Arial Narrow"/>
                  </w:rPr>
                  <w:t> </w:t>
                </w:r>
                <w:r w:rsidR="00F41E74">
                  <w:rPr>
                    <w:rFonts w:ascii="Arial Narrow" w:hAnsi="Arial Narrow"/>
                  </w:rPr>
                  <w:t>2124-2, du 1° de l’article R. 2124-2 et des articles R. 2161-2 à R. 2161-5 du code de la commande publique</w:t>
                </w:r>
              </w:sdtContent>
            </w:sdt>
          </w:p>
          <w:p w14:paraId="7C920E92" w14:textId="61CA5E51" w:rsidR="00E42FF3" w:rsidRPr="003E63FD" w:rsidRDefault="00E42FF3" w:rsidP="00E42FF3">
            <w:pPr>
              <w:spacing w:after="120"/>
              <w:rPr>
                <w:rFonts w:ascii="Arial Narrow" w:hAnsi="Arial Narrow"/>
              </w:rPr>
            </w:pPr>
            <w:r w:rsidRPr="003E63FD">
              <w:rPr>
                <w:rFonts w:ascii="Arial Narrow" w:hAnsi="Arial Narrow"/>
              </w:rPr>
              <w:t>Technique d’achat </w:t>
            </w:r>
            <w:r w:rsidRPr="00044295">
              <w:rPr>
                <w:rFonts w:ascii="Arial Narrow" w:hAnsi="Arial Narrow"/>
              </w:rPr>
              <w:t>:</w:t>
            </w:r>
            <w:r w:rsidR="00761316" w:rsidRPr="00044295">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D670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734732F" w14:textId="3E4AE92F" w:rsidR="00B535C1" w:rsidRPr="00B535C1" w:rsidRDefault="00E42FF3" w:rsidP="00B535C1">
      <w:pPr>
        <w:pStyle w:val="En-tte"/>
        <w:tabs>
          <w:tab w:val="clear" w:pos="4536"/>
          <w:tab w:val="clear" w:pos="9072"/>
        </w:tabs>
        <w:spacing w:after="120" w:line="360" w:lineRule="auto"/>
        <w:jc w:val="both"/>
        <w:rPr>
          <w:rFonts w:ascii="Arial Narrow" w:hAnsi="Arial Narrow"/>
        </w:rPr>
      </w:pPr>
      <w:r w:rsidRPr="00AC3573">
        <w:rPr>
          <w:rFonts w:ascii="Arial Narrow" w:hAnsi="Arial Narrow"/>
        </w:rPr>
        <w:t>La présente consultation a pour objet</w:t>
      </w:r>
      <w:r w:rsidR="00AC3573" w:rsidRPr="00AC3573">
        <w:rPr>
          <w:rFonts w:ascii="Arial Narrow" w:hAnsi="Arial Narrow"/>
        </w:rPr>
        <w:t xml:space="preserve"> </w:t>
      </w:r>
      <w:r w:rsidR="00B535C1">
        <w:rPr>
          <w:rFonts w:ascii="Arial Narrow" w:hAnsi="Arial Narrow"/>
        </w:rPr>
        <w:t>la</w:t>
      </w:r>
      <w:r w:rsidR="00D57F8A">
        <w:rPr>
          <w:rFonts w:ascii="Arial Narrow" w:hAnsi="Arial Narrow"/>
        </w:rPr>
        <w:t xml:space="preserve"> fourniture</w:t>
      </w:r>
      <w:r w:rsidR="00B535C1" w:rsidRPr="00B535C1">
        <w:rPr>
          <w:rFonts w:ascii="Arial Narrow" w:hAnsi="Arial Narrow"/>
        </w:rPr>
        <w:t xml:space="preserve"> d’éclairage</w:t>
      </w:r>
      <w:r w:rsidR="00F356DB">
        <w:rPr>
          <w:rFonts w:ascii="Arial Narrow" w:hAnsi="Arial Narrow"/>
        </w:rPr>
        <w:t xml:space="preserve"> et d’accessoires</w:t>
      </w:r>
      <w:r w:rsidR="00B535C1" w:rsidRPr="00B535C1">
        <w:rPr>
          <w:rFonts w:ascii="Arial Narrow" w:hAnsi="Arial Narrow"/>
        </w:rPr>
        <w:t xml:space="preserve"> pour l’EPMO</w:t>
      </w:r>
      <w:r w:rsidR="00B535C1">
        <w:rPr>
          <w:rFonts w:ascii="Arial Narrow" w:hAnsi="Arial Narrow"/>
        </w:rPr>
        <w:t>-VGE</w:t>
      </w:r>
      <w:r w:rsidR="00D57F8A">
        <w:rPr>
          <w:rFonts w:ascii="Arial Narrow" w:hAnsi="Arial Narrow"/>
        </w:rPr>
        <w:t xml:space="preserve"> </w:t>
      </w:r>
    </w:p>
    <w:p w14:paraId="0D0860A3" w14:textId="4F972EF5" w:rsidR="000C07B8" w:rsidRPr="000C07B8" w:rsidRDefault="000C07B8" w:rsidP="000C07B8">
      <w:pPr>
        <w:shd w:val="clear" w:color="auto" w:fill="FFFFFF" w:themeFill="background1"/>
        <w:jc w:val="both"/>
        <w:rPr>
          <w:rFonts w:ascii="Arial Narrow" w:hAnsi="Arial Narrow"/>
        </w:rPr>
      </w:pPr>
    </w:p>
    <w:p w14:paraId="4896CFCA" w14:textId="7E2B3A98" w:rsidR="00FD6698" w:rsidRDefault="007221BF" w:rsidP="004B3F38">
      <w:pPr>
        <w:pStyle w:val="Corpsdetexte"/>
        <w:rPr>
          <w:rFonts w:ascii="Arial Narrow" w:hAnsi="Arial Narrow"/>
        </w:rPr>
      </w:pPr>
      <w:r w:rsidRPr="003E63FD">
        <w:rPr>
          <w:rFonts w:ascii="Arial Narrow" w:hAnsi="Arial Narrow"/>
        </w:rPr>
        <w:t>Les prestations sont rattachées au code CPV (</w:t>
      </w:r>
      <w:r w:rsidRPr="0098436C">
        <w:rPr>
          <w:rFonts w:ascii="Arial Narrow" w:hAnsi="Arial Narrow"/>
        </w:rPr>
        <w:t xml:space="preserve">Common </w:t>
      </w:r>
      <w:proofErr w:type="spellStart"/>
      <w:r w:rsidRPr="0098436C">
        <w:rPr>
          <w:rFonts w:ascii="Arial Narrow" w:hAnsi="Arial Narrow"/>
        </w:rPr>
        <w:t>Procurement</w:t>
      </w:r>
      <w:proofErr w:type="spellEnd"/>
      <w:r w:rsidRPr="0098436C">
        <w:rPr>
          <w:rFonts w:ascii="Arial Narrow" w:hAnsi="Arial Narrow"/>
        </w:rPr>
        <w:t xml:space="preserve"> </w:t>
      </w:r>
      <w:proofErr w:type="spellStart"/>
      <w:r w:rsidRPr="0098436C">
        <w:rPr>
          <w:rFonts w:ascii="Arial Narrow" w:hAnsi="Arial Narrow"/>
        </w:rPr>
        <w:t>Vocabulary</w:t>
      </w:r>
      <w:proofErr w:type="spellEnd"/>
      <w:r w:rsidRPr="003E63FD">
        <w:rPr>
          <w:rFonts w:ascii="Arial Narrow" w:hAnsi="Arial Narrow"/>
        </w:rPr>
        <w:t xml:space="preserve">) suivant : </w:t>
      </w:r>
    </w:p>
    <w:p w14:paraId="5B73CCE8" w14:textId="40607A0C" w:rsidR="00B535C1" w:rsidRDefault="00B535C1" w:rsidP="00B535C1">
      <w:pPr>
        <w:pStyle w:val="En-tte"/>
        <w:tabs>
          <w:tab w:val="clear" w:pos="4536"/>
          <w:tab w:val="clear" w:pos="9072"/>
        </w:tabs>
        <w:spacing w:after="120" w:line="360" w:lineRule="auto"/>
        <w:jc w:val="both"/>
        <w:rPr>
          <w:rFonts w:ascii="Arial Narrow" w:hAnsi="Arial Narrow"/>
        </w:rPr>
      </w:pPr>
      <w:r w:rsidRPr="00B535C1">
        <w:rPr>
          <w:rFonts w:ascii="Arial Narrow" w:hAnsi="Arial Narrow"/>
        </w:rPr>
        <w:t>31000000-6 Machines, appareils, équipements et consommables électriques ; éclairage.</w:t>
      </w:r>
    </w:p>
    <w:p w14:paraId="400123F5" w14:textId="77777777" w:rsidR="00B535C1" w:rsidRPr="00B535C1" w:rsidRDefault="00B535C1" w:rsidP="00B535C1">
      <w:pPr>
        <w:pStyle w:val="En-tte"/>
        <w:tabs>
          <w:tab w:val="clear" w:pos="4536"/>
          <w:tab w:val="clear" w:pos="9072"/>
        </w:tabs>
        <w:spacing w:after="120" w:line="360" w:lineRule="auto"/>
        <w:jc w:val="both"/>
        <w:rPr>
          <w:rFonts w:ascii="Arial Narrow" w:hAnsi="Arial Narrow"/>
        </w:rPr>
      </w:pPr>
      <w:r w:rsidRPr="00B535C1">
        <w:rPr>
          <w:rFonts w:ascii="Arial Narrow" w:hAnsi="Arial Narrow"/>
        </w:rPr>
        <w:t xml:space="preserve">31520000-7 Lampes et appareils d'éclairage. </w:t>
      </w:r>
    </w:p>
    <w:p w14:paraId="06CD3304" w14:textId="77777777" w:rsidR="00B535C1" w:rsidRPr="00B535C1" w:rsidRDefault="00B535C1" w:rsidP="00B535C1">
      <w:pPr>
        <w:pStyle w:val="En-tte"/>
        <w:tabs>
          <w:tab w:val="clear" w:pos="4536"/>
          <w:tab w:val="clear" w:pos="9072"/>
        </w:tabs>
        <w:spacing w:after="120" w:line="360" w:lineRule="auto"/>
        <w:jc w:val="both"/>
        <w:rPr>
          <w:rFonts w:ascii="Arial Narrow" w:hAnsi="Arial Narrow"/>
        </w:rPr>
      </w:pPr>
      <w:r w:rsidRPr="00B535C1">
        <w:rPr>
          <w:rFonts w:ascii="Arial Narrow" w:hAnsi="Arial Narrow"/>
        </w:rPr>
        <w:t xml:space="preserve">31500000-1 Appareils d'éclairage et lampes électriques </w:t>
      </w:r>
    </w:p>
    <w:p w14:paraId="09E4A4D2" w14:textId="75C747DF" w:rsidR="0014635F" w:rsidRDefault="00B535C1" w:rsidP="00B535C1">
      <w:pPr>
        <w:pStyle w:val="En-tte"/>
        <w:tabs>
          <w:tab w:val="clear" w:pos="4536"/>
          <w:tab w:val="clear" w:pos="9072"/>
        </w:tabs>
        <w:spacing w:after="120" w:line="360" w:lineRule="auto"/>
        <w:jc w:val="both"/>
        <w:rPr>
          <w:rFonts w:ascii="Arial Narrow" w:hAnsi="Arial Narrow"/>
        </w:rPr>
      </w:pPr>
      <w:r w:rsidRPr="00B535C1">
        <w:rPr>
          <w:rFonts w:ascii="Arial Narrow" w:hAnsi="Arial Narrow"/>
        </w:rPr>
        <w:t>31527260-6 Systèmes d'éclairage</w:t>
      </w:r>
    </w:p>
    <w:p w14:paraId="791D3AB5" w14:textId="77777777" w:rsidR="00B535C1" w:rsidRPr="003E63FD" w:rsidRDefault="00B535C1" w:rsidP="00B535C1">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7FA9D31C"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vise à </w:t>
      </w:r>
      <w:r w:rsidR="00BB1CE1">
        <w:rPr>
          <w:rFonts w:ascii="Arial Narrow" w:hAnsi="Arial Narrow"/>
        </w:rPr>
        <w:t>conclure un a</w:t>
      </w:r>
      <w:r w:rsidR="009F71C7" w:rsidRPr="00C17D99">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p>
    <w:p w14:paraId="50A3E668" w14:textId="5EA3F750" w:rsidR="00B56270" w:rsidRDefault="00B56270" w:rsidP="00B56270">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sidR="009F71C7">
        <w:rPr>
          <w:rFonts w:ascii="Arial Narrow" w:hAnsi="Arial Narrow"/>
        </w:rPr>
        <w:t>.</w:t>
      </w:r>
    </w:p>
    <w:p w14:paraId="3ACAF873" w14:textId="18BD3AD6" w:rsidR="00B56270" w:rsidRPr="009E4F1B" w:rsidRDefault="00B56270" w:rsidP="00B56270">
      <w:pPr>
        <w:pStyle w:val="Corpsdetexte"/>
        <w:rPr>
          <w:rFonts w:ascii="Arial Narrow" w:hAnsi="Arial Narrow"/>
        </w:rPr>
      </w:pPr>
      <w:r>
        <w:rPr>
          <w:rFonts w:ascii="Arial Narrow" w:hAnsi="Arial Narrow"/>
        </w:rPr>
        <w:t xml:space="preserve">L’accord-cadre, </w:t>
      </w:r>
    </w:p>
    <w:p w14:paraId="17AA375C" w14:textId="32E1FE37" w:rsidR="00B56270" w:rsidRPr="009E4F1B"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15E10966" w14:textId="3E8EE695" w:rsidR="00B56270"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comprend un</w:t>
      </w:r>
      <w:r w:rsidRPr="009E4F1B">
        <w:rPr>
          <w:rFonts w:ascii="Arial Narrow" w:hAnsi="Arial Narrow"/>
        </w:rPr>
        <w:t xml:space="preserve"> montant maximum sur </w:t>
      </w:r>
      <w:r>
        <w:rPr>
          <w:rFonts w:ascii="Arial Narrow" w:hAnsi="Arial Narrow"/>
        </w:rPr>
        <w:t>s</w:t>
      </w:r>
      <w:r w:rsidRPr="009E4F1B">
        <w:rPr>
          <w:rFonts w:ascii="Arial Narrow" w:hAnsi="Arial Narrow"/>
        </w:rPr>
        <w:t xml:space="preserve">a durée </w:t>
      </w:r>
      <w:r w:rsidRPr="00846AE1">
        <w:rPr>
          <w:rFonts w:ascii="Arial Narrow" w:hAnsi="Arial Narrow"/>
        </w:rPr>
        <w:t xml:space="preserve">totale </w:t>
      </w:r>
      <w:r w:rsidRPr="00B1231E">
        <w:rPr>
          <w:rFonts w:ascii="Arial Narrow" w:hAnsi="Arial Narrow"/>
          <w:highlight w:val="yellow"/>
        </w:rPr>
        <w:t>fixé à</w:t>
      </w:r>
      <w:r w:rsidR="00291C60">
        <w:rPr>
          <w:rFonts w:ascii="Arial Narrow" w:hAnsi="Arial Narrow"/>
          <w:highlight w:val="yellow"/>
        </w:rPr>
        <w:t xml:space="preserve"> </w:t>
      </w:r>
      <w:r w:rsidR="00291C60" w:rsidRPr="00291C60">
        <w:rPr>
          <w:rFonts w:ascii="Arial Narrow" w:hAnsi="Arial Narrow"/>
          <w:b/>
          <w:highlight w:val="yellow"/>
        </w:rPr>
        <w:t xml:space="preserve">1 </w:t>
      </w:r>
      <w:r w:rsidR="0090489A">
        <w:rPr>
          <w:rFonts w:ascii="Arial Narrow" w:hAnsi="Arial Narrow"/>
          <w:b/>
          <w:highlight w:val="yellow"/>
        </w:rPr>
        <w:t>8</w:t>
      </w:r>
      <w:r w:rsidR="00291C60" w:rsidRPr="00291C60">
        <w:rPr>
          <w:rFonts w:ascii="Arial Narrow" w:hAnsi="Arial Narrow"/>
          <w:b/>
          <w:highlight w:val="yellow"/>
        </w:rPr>
        <w:t>00</w:t>
      </w:r>
      <w:r w:rsidR="00FD670D">
        <w:rPr>
          <w:rFonts w:ascii="Arial Narrow" w:hAnsi="Arial Narrow"/>
          <w:b/>
          <w:highlight w:val="yellow"/>
        </w:rPr>
        <w:t xml:space="preserve"> 000</w:t>
      </w:r>
      <w:r w:rsidRPr="000F4D6C">
        <w:rPr>
          <w:rFonts w:ascii="Arial Narrow" w:hAnsi="Arial Narrow"/>
          <w:b/>
          <w:highlight w:val="yellow"/>
        </w:rPr>
        <w:t xml:space="preserve"> €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25B214E4"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635F">
            <w:rPr>
              <w:rFonts w:ascii="Arial Narrow" w:hAnsi="Arial Narrow"/>
            </w:rPr>
            <w:t>la procédure d’appel d’offres ouvert en application des dispositions de l’article L. 2124-2, du 1° de l’article R. 2124-2 et des articles R. 2161-2 à R. 2161-5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4DB35D67" w:rsidR="00973612"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344C8AE6" w:rsidR="00180990" w:rsidRPr="003E63FD" w:rsidRDefault="0097361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Pr>
          <w:rFonts w:ascii="Arial Narrow" w:hAnsi="Arial Narrow"/>
        </w:rPr>
        <w:br w:type="page"/>
      </w:r>
      <w:r w:rsidR="000B7422" w:rsidRPr="003E63FD">
        <w:rPr>
          <w:rFonts w:ascii="Arial Narrow" w:hAnsi="Arial Narrow"/>
          <w:b/>
        </w:rPr>
        <w:lastRenderedPageBreak/>
        <w:t>Variantes</w:t>
      </w:r>
    </w:p>
    <w:p w14:paraId="53AF2034" w14:textId="121EDD92"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705552ED" w14:textId="123B2648"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0E62F3"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E62F3">
        <w:rPr>
          <w:rFonts w:ascii="Arial Narrow" w:hAnsi="Arial Narrow"/>
          <w:b/>
        </w:rPr>
        <w:t>Visite de site</w:t>
      </w:r>
    </w:p>
    <w:p w14:paraId="6A4F2856" w14:textId="09FCF654" w:rsidR="000B3732" w:rsidRDefault="00FD670D" w:rsidP="000B3732">
      <w:pPr>
        <w:pStyle w:val="Corpsdetexte"/>
        <w:rPr>
          <w:rFonts w:ascii="Arial Narrow" w:hAnsi="Arial Narrow"/>
        </w:rPr>
      </w:pPr>
      <w:r>
        <w:rPr>
          <w:rFonts w:ascii="Arial Narrow" w:hAnsi="Arial Narrow"/>
        </w:rPr>
        <w:t>Sans objet</w:t>
      </w:r>
    </w:p>
    <w:p w14:paraId="76890E19" w14:textId="77777777" w:rsidR="00841FAE"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EB633F" w:rsidR="00F065F4" w:rsidRPr="003E63FD" w:rsidRDefault="00B940D5"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3FD9710A" w14:textId="77777777" w:rsidR="005D179F" w:rsidRDefault="005D179F" w:rsidP="005D179F">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13D2626E" w14:textId="77777777" w:rsidR="005D179F" w:rsidRDefault="005D179F" w:rsidP="005D179F">
      <w:pPr>
        <w:pStyle w:val="Corpsdetexte"/>
        <w:numPr>
          <w:ilvl w:val="0"/>
          <w:numId w:val="13"/>
        </w:numPr>
        <w:ind w:left="1560"/>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0916C89E" w14:textId="77777777" w:rsidR="005D179F" w:rsidRDefault="005D179F" w:rsidP="005D179F">
      <w:pPr>
        <w:pStyle w:val="Corpsdetexte"/>
        <w:numPr>
          <w:ilvl w:val="0"/>
          <w:numId w:val="13"/>
        </w:numPr>
        <w:ind w:left="1560"/>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le modèle de DC4 pré rempli et sa notice ;</w:t>
      </w:r>
    </w:p>
    <w:p w14:paraId="4A1B00C8" w14:textId="1ED8F761" w:rsidR="005D179F" w:rsidRPr="00834D61" w:rsidRDefault="005D179F" w:rsidP="005D179F">
      <w:pPr>
        <w:pStyle w:val="Corpsdetexte"/>
        <w:numPr>
          <w:ilvl w:val="0"/>
          <w:numId w:val="13"/>
        </w:numPr>
        <w:ind w:left="1560"/>
        <w:rPr>
          <w:rFonts w:ascii="Arial Narrow" w:hAnsi="Arial Narrow"/>
          <w:b/>
        </w:rPr>
      </w:pPr>
      <w:r>
        <w:rPr>
          <w:rFonts w:ascii="Arial Narrow" w:hAnsi="Arial Narrow"/>
        </w:rPr>
        <w:t xml:space="preserve">Annexe 4 : </w:t>
      </w:r>
      <w:r w:rsidRPr="00B2326C">
        <w:rPr>
          <w:rFonts w:ascii="Arial Narrow" w:hAnsi="Arial Narrow"/>
        </w:rPr>
        <w:t xml:space="preserve">le </w:t>
      </w:r>
      <w:r w:rsidRPr="00834D61">
        <w:rPr>
          <w:rFonts w:ascii="Arial Narrow" w:hAnsi="Arial Narrow"/>
          <w:b/>
        </w:rPr>
        <w:t>Détail quantitatif estimatif (DQE)</w:t>
      </w:r>
      <w:r w:rsidR="00677CC7" w:rsidRPr="00834D61">
        <w:rPr>
          <w:rFonts w:ascii="Arial Narrow" w:hAnsi="Arial Narrow"/>
          <w:b/>
        </w:rPr>
        <w:t xml:space="preserve"> </w:t>
      </w:r>
      <w:r w:rsidR="00834D61" w:rsidRPr="00886106">
        <w:rPr>
          <w:rFonts w:ascii="Arial Narrow" w:hAnsi="Arial Narrow"/>
          <w:b/>
        </w:rPr>
        <w:t>et la commande fictive</w:t>
      </w:r>
      <w:r w:rsidR="00834D61" w:rsidRPr="00834D61">
        <w:rPr>
          <w:rFonts w:ascii="Arial Narrow" w:hAnsi="Arial Narrow"/>
          <w:b/>
        </w:rPr>
        <w:t xml:space="preserve"> </w:t>
      </w:r>
      <w:r w:rsidR="009553DB">
        <w:rPr>
          <w:rFonts w:ascii="Arial Narrow" w:hAnsi="Arial Narrow"/>
          <w:b/>
        </w:rPr>
        <w:t>(</w:t>
      </w:r>
      <w:r w:rsidR="00886106">
        <w:rPr>
          <w:rFonts w:ascii="Arial Narrow" w:hAnsi="Arial Narrow"/>
          <w:b/>
        </w:rPr>
        <w:t xml:space="preserve">Ces </w:t>
      </w:r>
      <w:r w:rsidR="009553DB">
        <w:rPr>
          <w:rFonts w:ascii="Arial Narrow" w:hAnsi="Arial Narrow"/>
          <w:b/>
        </w:rPr>
        <w:t xml:space="preserve">documents </w:t>
      </w:r>
      <w:r w:rsidR="00886106">
        <w:rPr>
          <w:rFonts w:ascii="Arial Narrow" w:hAnsi="Arial Narrow"/>
          <w:b/>
        </w:rPr>
        <w:t xml:space="preserve">sont </w:t>
      </w:r>
      <w:r w:rsidR="009553DB">
        <w:rPr>
          <w:rFonts w:ascii="Arial Narrow" w:hAnsi="Arial Narrow"/>
          <w:b/>
        </w:rPr>
        <w:t>non contractuels servant à apprécier les offres de prix)</w:t>
      </w:r>
    </w:p>
    <w:p w14:paraId="7407388E" w14:textId="37DFD302" w:rsidR="005D179F" w:rsidRDefault="005D179F" w:rsidP="005D179F">
      <w:pPr>
        <w:pStyle w:val="Corpsdetexte"/>
        <w:numPr>
          <w:ilvl w:val="0"/>
          <w:numId w:val="7"/>
        </w:numPr>
        <w:rPr>
          <w:rFonts w:ascii="Arial Narrow" w:hAnsi="Arial Narrow"/>
        </w:rPr>
      </w:pPr>
      <w:r w:rsidRPr="003E63FD">
        <w:rPr>
          <w:rFonts w:ascii="Arial Narrow" w:hAnsi="Arial Narrow"/>
          <w:lang w:eastAsia="fr-FR"/>
        </w:rPr>
        <w:t>L’acte d’engagement ;</w:t>
      </w:r>
    </w:p>
    <w:p w14:paraId="20AECE2B" w14:textId="63927B59" w:rsidR="00BB1CE1" w:rsidRPr="003E63FD" w:rsidRDefault="00BB1CE1" w:rsidP="005D179F">
      <w:pPr>
        <w:pStyle w:val="Corpsdetexte"/>
        <w:numPr>
          <w:ilvl w:val="0"/>
          <w:numId w:val="7"/>
        </w:numPr>
        <w:rPr>
          <w:rFonts w:ascii="Arial Narrow" w:hAnsi="Arial Narrow"/>
        </w:rPr>
      </w:pPr>
      <w:r>
        <w:rPr>
          <w:rFonts w:ascii="Arial Narrow" w:hAnsi="Arial Narrow"/>
          <w:lang w:eastAsia="fr-FR"/>
        </w:rPr>
        <w:t>Le bordereau de prix unitaires (BPU)</w:t>
      </w:r>
    </w:p>
    <w:p w14:paraId="54119213" w14:textId="7C7E43B2" w:rsidR="00886106" w:rsidRDefault="005D179F" w:rsidP="005D179F">
      <w:pPr>
        <w:pStyle w:val="Corpsdetexte"/>
        <w:numPr>
          <w:ilvl w:val="0"/>
          <w:numId w:val="7"/>
        </w:numPr>
        <w:rPr>
          <w:rFonts w:ascii="Arial Narrow" w:hAnsi="Arial Narrow"/>
        </w:rPr>
      </w:pPr>
      <w:r w:rsidRPr="003E63FD">
        <w:rPr>
          <w:rFonts w:ascii="Arial Narrow" w:hAnsi="Arial Narrow"/>
        </w:rPr>
        <w:t xml:space="preserve">Le cahier des clauses </w:t>
      </w:r>
      <w:r w:rsidR="0090489A">
        <w:rPr>
          <w:rFonts w:ascii="Arial Narrow" w:hAnsi="Arial Narrow"/>
        </w:rPr>
        <w:t xml:space="preserve">administratives </w:t>
      </w:r>
      <w:r>
        <w:rPr>
          <w:rFonts w:ascii="Arial Narrow" w:hAnsi="Arial Narrow"/>
        </w:rPr>
        <w:t>particulières (CC</w:t>
      </w:r>
      <w:r w:rsidR="0090489A">
        <w:rPr>
          <w:rFonts w:ascii="Arial Narrow" w:hAnsi="Arial Narrow"/>
        </w:rPr>
        <w:t>A</w:t>
      </w:r>
      <w:r w:rsidRPr="003E63FD">
        <w:rPr>
          <w:rFonts w:ascii="Arial Narrow" w:hAnsi="Arial Narrow"/>
        </w:rPr>
        <w:t>P)</w:t>
      </w:r>
    </w:p>
    <w:p w14:paraId="63C44B01" w14:textId="031F169B" w:rsidR="005D179F" w:rsidRPr="003E63FD" w:rsidRDefault="00886106" w:rsidP="005D179F">
      <w:pPr>
        <w:pStyle w:val="Corpsdetexte"/>
        <w:numPr>
          <w:ilvl w:val="0"/>
          <w:numId w:val="7"/>
        </w:numPr>
        <w:rPr>
          <w:rFonts w:ascii="Arial Narrow" w:hAnsi="Arial Narrow"/>
        </w:rPr>
      </w:pPr>
      <w:r>
        <w:rPr>
          <w:rFonts w:ascii="Arial Narrow" w:hAnsi="Arial Narrow"/>
        </w:rPr>
        <w:t>Le cahier des clauses techniques particulières</w:t>
      </w:r>
    </w:p>
    <w:p w14:paraId="51743448" w14:textId="77777777" w:rsidR="005D179F" w:rsidRDefault="005D179F" w:rsidP="005D179F">
      <w:pPr>
        <w:pStyle w:val="Corpsdetexte"/>
        <w:ind w:left="720"/>
        <w:rPr>
          <w:rFonts w:ascii="Arial Narrow" w:hAnsi="Arial Narrow"/>
        </w:rPr>
      </w:pP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5540E7B8" w:rsidR="00A118F1" w:rsidRPr="003E63FD" w:rsidRDefault="0088306B" w:rsidP="000B7422">
      <w:pPr>
        <w:pStyle w:val="Corpsdetexte"/>
        <w:rPr>
          <w:rFonts w:ascii="Arial Narrow" w:hAnsi="Arial Narrow"/>
        </w:rPr>
      </w:pPr>
      <w:r w:rsidRPr="003E63FD">
        <w:rPr>
          <w:rFonts w:ascii="Arial Narrow" w:hAnsi="Arial Narrow"/>
        </w:rPr>
        <w:t>L’</w:t>
      </w:r>
      <w:r w:rsidR="00D67046">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46C9600" w14:textId="323D8C4C" w:rsidR="000B3732" w:rsidRPr="003E63FD" w:rsidRDefault="000B3732" w:rsidP="000B3732">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 xml:space="preserve">tard </w:t>
      </w:r>
      <w:r w:rsidR="006F6D85">
        <w:rPr>
          <w:rFonts w:ascii="Arial Narrow" w:hAnsi="Arial Narrow"/>
          <w:b/>
          <w:highlight w:val="yellow"/>
        </w:rPr>
        <w:t>six</w:t>
      </w:r>
      <w:r w:rsidR="006F6D85">
        <w:rPr>
          <w:rFonts w:ascii="Arial Narrow" w:hAnsi="Arial Narrow"/>
          <w:b/>
          <w:highlight w:val="yellow"/>
          <w:lang w:eastAsia="fr-FR"/>
        </w:rPr>
        <w:t xml:space="preserve"> (6</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0C9DA4C0" w:rsidR="00F065F4" w:rsidRPr="003E63FD" w:rsidRDefault="00886106" w:rsidP="00973612">
      <w:pPr>
        <w:pStyle w:val="Corpsdetexte"/>
        <w:spacing w:after="240"/>
        <w:rPr>
          <w:rFonts w:ascii="Arial Narrow" w:hAnsi="Arial Narrow"/>
          <w:b/>
        </w:rPr>
      </w:pPr>
      <w:r>
        <w:rPr>
          <w:rFonts w:ascii="Arial Narrow" w:hAnsi="Arial Narrow"/>
          <w:b/>
        </w:rPr>
        <w:t>4.1</w:t>
      </w:r>
      <w:r w:rsidR="00C12442">
        <w:rPr>
          <w:rFonts w:ascii="Arial Narrow" w:hAnsi="Arial Narrow"/>
          <w:b/>
        </w:rPr>
        <w:tab/>
      </w:r>
      <w:r w:rsidR="00AA3E07"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0A1C3E6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D67046">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03DCCE03"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D67046">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59253DC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D67046">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636B8165" w:rsidR="00BD6430" w:rsidRPr="003E63FD" w:rsidRDefault="00886106" w:rsidP="00886106">
      <w:pPr>
        <w:pStyle w:val="Corpsdetexte"/>
        <w:spacing w:after="240"/>
        <w:rPr>
          <w:rFonts w:ascii="Arial Narrow" w:hAnsi="Arial Narrow"/>
          <w:b/>
        </w:rPr>
      </w:pPr>
      <w:r>
        <w:rPr>
          <w:rFonts w:ascii="Arial Narrow" w:hAnsi="Arial Narrow"/>
          <w:b/>
        </w:rPr>
        <w:t>4.2</w:t>
      </w:r>
      <w:r w:rsidR="00A7568E"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247E1401" w14:textId="064361A2" w:rsidR="008C1AC8" w:rsidRPr="00FD670D" w:rsidRDefault="00A7568E" w:rsidP="00FD670D">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13D24375" w14:textId="72334DB2" w:rsidR="008C1AC8" w:rsidRDefault="008C1AC8" w:rsidP="008C1AC8">
      <w:pPr>
        <w:pStyle w:val="Corpsdetexte"/>
        <w:numPr>
          <w:ilvl w:val="0"/>
          <w:numId w:val="23"/>
        </w:numPr>
        <w:rPr>
          <w:rFonts w:ascii="Arial Narrow" w:hAnsi="Arial Narrow"/>
          <w:lang w:eastAsia="fr-FR"/>
        </w:rPr>
      </w:pPr>
      <w:r w:rsidRPr="0094615D">
        <w:rPr>
          <w:rFonts w:ascii="Arial Narrow" w:hAnsi="Arial Narrow"/>
          <w:b/>
          <w:lang w:eastAsia="fr-FR"/>
        </w:rPr>
        <w:t xml:space="preserve">BPU </w:t>
      </w:r>
      <w:r>
        <w:rPr>
          <w:rFonts w:ascii="Arial Narrow" w:hAnsi="Arial Narrow"/>
          <w:lang w:eastAsia="fr-FR"/>
        </w:rPr>
        <w:t>complété </w:t>
      </w:r>
      <w:r w:rsidR="0090489A">
        <w:rPr>
          <w:rFonts w:ascii="Arial Narrow" w:hAnsi="Arial Narrow"/>
          <w:lang w:eastAsia="fr-FR"/>
        </w:rPr>
        <w:t>dans l’intégralité de ses prix</w:t>
      </w:r>
      <w:r w:rsidR="00B27D4E">
        <w:rPr>
          <w:rFonts w:ascii="Arial Narrow" w:hAnsi="Arial Narrow"/>
          <w:lang w:eastAsia="fr-FR"/>
        </w:rPr>
        <w:t xml:space="preserve"> et catalogues</w:t>
      </w:r>
      <w:r>
        <w:rPr>
          <w:rFonts w:ascii="Arial Narrow" w:hAnsi="Arial Narrow"/>
          <w:lang w:eastAsia="fr-FR"/>
        </w:rPr>
        <w:t>;</w:t>
      </w:r>
    </w:p>
    <w:p w14:paraId="44F5B228" w14:textId="539AA5DB" w:rsidR="00B27D4E" w:rsidRDefault="00834D61" w:rsidP="00834D61">
      <w:pPr>
        <w:pStyle w:val="Corpsdetexte"/>
        <w:numPr>
          <w:ilvl w:val="0"/>
          <w:numId w:val="23"/>
        </w:numPr>
        <w:rPr>
          <w:rFonts w:ascii="Arial Narrow" w:hAnsi="Arial Narrow"/>
          <w:b/>
        </w:rPr>
      </w:pPr>
      <w:r>
        <w:rPr>
          <w:rFonts w:ascii="Arial Narrow" w:hAnsi="Arial Narrow"/>
          <w:b/>
          <w:lang w:eastAsia="fr-FR"/>
        </w:rPr>
        <w:t>D</w:t>
      </w:r>
      <w:r w:rsidRPr="00834D61">
        <w:rPr>
          <w:rFonts w:ascii="Arial Narrow" w:hAnsi="Arial Narrow"/>
          <w:b/>
          <w:lang w:eastAsia="fr-FR"/>
        </w:rPr>
        <w:t>étail quantitatif estimatif</w:t>
      </w:r>
      <w:r w:rsidR="00677CC7" w:rsidRPr="00834D61">
        <w:rPr>
          <w:rFonts w:ascii="Arial Narrow" w:hAnsi="Arial Narrow"/>
          <w:b/>
          <w:lang w:eastAsia="fr-FR"/>
        </w:rPr>
        <w:t>-DQE</w:t>
      </w:r>
      <w:r>
        <w:rPr>
          <w:rFonts w:ascii="Arial Narrow" w:hAnsi="Arial Narrow"/>
          <w:b/>
          <w:lang w:eastAsia="fr-FR"/>
        </w:rPr>
        <w:t xml:space="preserve"> et la commande fictive</w:t>
      </w:r>
      <w:r w:rsidR="00B27D4E">
        <w:rPr>
          <w:rFonts w:ascii="Arial Narrow" w:hAnsi="Arial Narrow"/>
          <w:b/>
          <w:lang w:eastAsia="fr-FR"/>
        </w:rPr>
        <w:t xml:space="preserve"> </w:t>
      </w:r>
      <w:r w:rsidR="00B27D4E" w:rsidRPr="00834D61">
        <w:rPr>
          <w:rFonts w:ascii="Arial Narrow" w:hAnsi="Arial Narrow"/>
          <w:b/>
          <w:lang w:eastAsia="fr-FR"/>
        </w:rPr>
        <w:t>complété</w:t>
      </w:r>
      <w:r w:rsidR="00B27D4E">
        <w:rPr>
          <w:rFonts w:ascii="Arial Narrow" w:hAnsi="Arial Narrow"/>
          <w:b/>
          <w:lang w:eastAsia="fr-FR"/>
        </w:rPr>
        <w:t>s</w:t>
      </w:r>
      <w:r>
        <w:rPr>
          <w:rFonts w:ascii="Arial Narrow" w:hAnsi="Arial Narrow"/>
          <w:b/>
          <w:lang w:eastAsia="fr-FR"/>
        </w:rPr>
        <w:t xml:space="preserve"> </w:t>
      </w:r>
      <w:r w:rsidR="009553DB">
        <w:rPr>
          <w:rFonts w:ascii="Arial Narrow" w:hAnsi="Arial Narrow"/>
          <w:b/>
        </w:rPr>
        <w:t>(documents non contractuels servant à apprécier les offres de prix)</w:t>
      </w:r>
    </w:p>
    <w:p w14:paraId="6ED9A1F1" w14:textId="77777777" w:rsidR="00B27D4E" w:rsidRDefault="00B27D4E">
      <w:pPr>
        <w:rPr>
          <w:rFonts w:ascii="Arial Narrow" w:hAnsi="Arial Narrow"/>
          <w:b/>
        </w:rPr>
      </w:pPr>
      <w:r>
        <w:rPr>
          <w:rFonts w:ascii="Arial Narrow" w:hAnsi="Arial Narrow"/>
          <w:b/>
        </w:rPr>
        <w:br w:type="page"/>
      </w:r>
    </w:p>
    <w:p w14:paraId="4752EEA9" w14:textId="77777777" w:rsidR="00834D61" w:rsidRPr="00834D61" w:rsidRDefault="00834D61" w:rsidP="00B27D4E">
      <w:pPr>
        <w:pStyle w:val="Corpsdetexte"/>
        <w:ind w:left="720"/>
        <w:rPr>
          <w:rFonts w:ascii="Arial Narrow" w:hAnsi="Arial Narrow"/>
          <w:lang w:eastAsia="fr-FR"/>
        </w:rPr>
      </w:pPr>
    </w:p>
    <w:p w14:paraId="0E6115EE" w14:textId="41EEEE69" w:rsidR="00B344BC" w:rsidRPr="00B940D5" w:rsidRDefault="00F714D1" w:rsidP="00B27D4E">
      <w:pPr>
        <w:pStyle w:val="Corpsdetexte"/>
        <w:numPr>
          <w:ilvl w:val="0"/>
          <w:numId w:val="23"/>
        </w:numPr>
        <w:rPr>
          <w:highlight w:val="yellow"/>
          <w:lang w:eastAsia="fr-FR"/>
        </w:rPr>
      </w:pPr>
      <w:r w:rsidRPr="00B940D5">
        <w:rPr>
          <w:rFonts w:ascii="Arial Narrow" w:hAnsi="Arial Narrow"/>
          <w:b/>
          <w:highlight w:val="yellow"/>
          <w:lang w:eastAsia="fr-FR"/>
        </w:rPr>
        <w:t xml:space="preserve">Un mémoire technique </w:t>
      </w:r>
      <w:r w:rsidR="00B344BC" w:rsidRPr="00B940D5">
        <w:rPr>
          <w:rFonts w:ascii="Arial Narrow" w:hAnsi="Arial Narrow"/>
          <w:b/>
          <w:highlight w:val="yellow"/>
          <w:lang w:eastAsia="fr-FR"/>
        </w:rPr>
        <w:t>dans lequel le candidat décrira</w:t>
      </w:r>
      <w:r w:rsidR="00B344BC" w:rsidRPr="00B940D5">
        <w:rPr>
          <w:highlight w:val="yellow"/>
          <w:lang w:eastAsia="fr-FR"/>
        </w:rPr>
        <w:t xml:space="preserve"> : </w:t>
      </w:r>
    </w:p>
    <w:p w14:paraId="34327A97" w14:textId="703D5BF9" w:rsidR="00886106" w:rsidRPr="00B940D5" w:rsidRDefault="00886106" w:rsidP="00886106">
      <w:pPr>
        <w:pStyle w:val="Corpsdetexte"/>
        <w:numPr>
          <w:ilvl w:val="1"/>
          <w:numId w:val="23"/>
        </w:numPr>
        <w:rPr>
          <w:lang w:eastAsia="fr-FR"/>
        </w:rPr>
      </w:pPr>
      <w:r w:rsidRPr="00B940D5">
        <w:rPr>
          <w:rFonts w:ascii="Arial Narrow" w:eastAsia="Lucida Sans Unicode" w:hAnsi="Arial Narrow" w:cs="Arial"/>
        </w:rPr>
        <w:t xml:space="preserve">Les performances techniques et esthétiques des fournitures : durée de vie, homogénéité, adaptation à leur environnement à partir des fiches techniques. </w:t>
      </w:r>
    </w:p>
    <w:p w14:paraId="33A9C03E" w14:textId="21A64F14" w:rsidR="00886106" w:rsidRPr="00B940D5" w:rsidRDefault="00886106" w:rsidP="00886106">
      <w:pPr>
        <w:pStyle w:val="Corpsdetexte"/>
        <w:numPr>
          <w:ilvl w:val="1"/>
          <w:numId w:val="23"/>
        </w:numPr>
        <w:rPr>
          <w:lang w:eastAsia="fr-FR"/>
        </w:rPr>
      </w:pPr>
      <w:r w:rsidRPr="00B940D5">
        <w:rPr>
          <w:rFonts w:ascii="Arial Narrow" w:eastAsia="Lucida Sans Unicode" w:hAnsi="Arial Narrow" w:cs="Arial"/>
        </w:rPr>
        <w:t xml:space="preserve">Les délais de livraison et </w:t>
      </w:r>
      <w:r w:rsidR="00B27D4E" w:rsidRPr="00B940D5">
        <w:rPr>
          <w:rFonts w:ascii="Arial Narrow" w:eastAsia="Lucida Sans Unicode" w:hAnsi="Arial Narrow" w:cs="Arial"/>
        </w:rPr>
        <w:t xml:space="preserve">fournira les </w:t>
      </w:r>
      <w:r w:rsidRPr="00B940D5">
        <w:rPr>
          <w:rFonts w:ascii="Arial Narrow" w:eastAsia="Lucida Sans Unicode" w:hAnsi="Arial Narrow" w:cs="Arial"/>
        </w:rPr>
        <w:t xml:space="preserve">justificatifs visant à garantir les meilleurs délais possibles pour une livraison, organisation logistique mise en place </w:t>
      </w:r>
      <w:r w:rsidR="00B27D4E" w:rsidRPr="00B940D5">
        <w:rPr>
          <w:rFonts w:ascii="Arial Narrow" w:eastAsia="Lucida Sans Unicode" w:hAnsi="Arial Narrow" w:cs="Arial"/>
        </w:rPr>
        <w:t>permettant de</w:t>
      </w:r>
      <w:r w:rsidRPr="00B940D5">
        <w:rPr>
          <w:rFonts w:ascii="Arial Narrow" w:eastAsia="Lucida Sans Unicode" w:hAnsi="Arial Narrow" w:cs="Arial"/>
        </w:rPr>
        <w:t xml:space="preserve"> minimiser ces délais</w:t>
      </w:r>
      <w:r w:rsidR="00B27D4E" w:rsidRPr="00B940D5">
        <w:rPr>
          <w:rFonts w:ascii="Arial Narrow" w:eastAsia="Lucida Sans Unicode" w:hAnsi="Arial Narrow" w:cs="Arial"/>
        </w:rPr>
        <w:t xml:space="preserve">. Il décrira les </w:t>
      </w:r>
      <w:r w:rsidRPr="00B940D5">
        <w:rPr>
          <w:rFonts w:ascii="Arial Narrow" w:eastAsia="Lucida Sans Unicode" w:hAnsi="Arial Narrow" w:cs="Arial"/>
        </w:rPr>
        <w:t>conditions de livraison et de reprise</w:t>
      </w:r>
      <w:r w:rsidR="00B27D4E" w:rsidRPr="00B940D5">
        <w:rPr>
          <w:rFonts w:ascii="Arial Narrow" w:eastAsia="Lucida Sans Unicode" w:hAnsi="Arial Narrow" w:cs="Arial"/>
        </w:rPr>
        <w:t xml:space="preserve"> lors de la livraison si nécessaire.</w:t>
      </w:r>
      <w:r w:rsidRPr="00B940D5">
        <w:rPr>
          <w:rFonts w:ascii="Arial Narrow" w:eastAsia="Lucida Sans Unicode" w:hAnsi="Arial Narrow" w:cs="Arial"/>
        </w:rPr>
        <w:t xml:space="preserve"> </w:t>
      </w:r>
    </w:p>
    <w:p w14:paraId="3A8409AD" w14:textId="6FF1C5BD" w:rsidR="00886106" w:rsidRPr="00B940D5" w:rsidRDefault="00886106" w:rsidP="00886106">
      <w:pPr>
        <w:pStyle w:val="Corpsdetexte"/>
        <w:numPr>
          <w:ilvl w:val="1"/>
          <w:numId w:val="23"/>
        </w:numPr>
        <w:rPr>
          <w:lang w:eastAsia="fr-FR"/>
        </w:rPr>
      </w:pPr>
      <w:r w:rsidRPr="00B940D5">
        <w:rPr>
          <w:rFonts w:ascii="Arial Narrow" w:eastAsia="Lucida Sans Unicode" w:hAnsi="Arial Narrow" w:cs="Arial"/>
        </w:rPr>
        <w:t xml:space="preserve">Le service après-vente : les conditions et délais de reprise des produits livrés en cas de défaut constaté </w:t>
      </w:r>
      <w:r w:rsidRPr="00B940D5">
        <w:rPr>
          <w:rFonts w:ascii="Arial Narrow" w:eastAsia="Lucida Sans Unicode" w:hAnsi="Arial Narrow" w:cs="Arial"/>
          <w:u w:val="single"/>
        </w:rPr>
        <w:t>pendant la période de garantie</w:t>
      </w:r>
    </w:p>
    <w:p w14:paraId="4A7C94A4" w14:textId="77777777" w:rsidR="00886106" w:rsidRPr="00834D61" w:rsidRDefault="00886106" w:rsidP="00886106">
      <w:pPr>
        <w:pStyle w:val="Corpsdetexte"/>
        <w:rPr>
          <w:lang w:eastAsia="fr-FR"/>
        </w:rPr>
      </w:pPr>
    </w:p>
    <w:p w14:paraId="3DDC7161" w14:textId="41CBA9B1" w:rsidR="00846CF0" w:rsidRPr="00B27D4E" w:rsidRDefault="00846CF0" w:rsidP="00B27D4E">
      <w:pPr>
        <w:pStyle w:val="Corpsdetexte"/>
        <w:numPr>
          <w:ilvl w:val="0"/>
          <w:numId w:val="23"/>
        </w:numPr>
        <w:shd w:val="clear" w:color="auto" w:fill="FFFFFF" w:themeFill="background1"/>
        <w:rPr>
          <w:rFonts w:ascii="Arial Narrow" w:eastAsia="Times New Roman" w:hAnsi="Arial Narrow" w:cs="Times New Roman"/>
          <w:lang w:eastAsia="fr-FR"/>
        </w:rPr>
      </w:pPr>
      <w:r w:rsidRPr="00B27D4E">
        <w:rPr>
          <w:rFonts w:ascii="Arial Narrow" w:hAnsi="Arial Narrow"/>
          <w:b/>
          <w:u w:val="single"/>
          <w:lang w:eastAsia="fr-FR"/>
        </w:rPr>
        <w:t xml:space="preserve">Concernant le volet environnemental du mémoire technique, </w:t>
      </w:r>
      <w:r w:rsidRPr="00B27D4E">
        <w:rPr>
          <w:rFonts w:ascii="Arial Narrow" w:hAnsi="Arial Narrow" w:cs="Arial"/>
          <w:lang w:eastAsia="fr-FR"/>
        </w:rPr>
        <w:t xml:space="preserve">le candidat précisera </w:t>
      </w:r>
      <w:r w:rsidRPr="00B27D4E">
        <w:rPr>
          <w:rFonts w:ascii="Arial Narrow" w:hAnsi="Arial Narrow" w:cs="Arial"/>
        </w:rPr>
        <w:t xml:space="preserve">toutes les mesures qu’il s’engage à prendre pour limiter l’impact environnemental </w:t>
      </w:r>
      <w:r w:rsidRPr="00B27D4E">
        <w:rPr>
          <w:rFonts w:ascii="Arial Narrow" w:hAnsi="Arial Narrow" w:cs="Arial"/>
          <w:u w:val="single"/>
        </w:rPr>
        <w:t>dans le cadre de l’exécution des prestations du marché</w:t>
      </w:r>
      <w:r w:rsidRPr="00B27D4E">
        <w:rPr>
          <w:rFonts w:ascii="Arial Narrow" w:hAnsi="Arial Narrow" w:cs="Arial"/>
        </w:rPr>
        <w:t xml:space="preserve"> </w:t>
      </w:r>
      <w:r w:rsidR="0023749B" w:rsidRPr="00B27D4E">
        <w:rPr>
          <w:rFonts w:ascii="Arial Narrow" w:hAnsi="Arial Narrow" w:cs="Arial"/>
        </w:rPr>
        <w:t>nota</w:t>
      </w:r>
      <w:r w:rsidR="00255846" w:rsidRPr="00B27D4E">
        <w:rPr>
          <w:rFonts w:ascii="Arial Narrow" w:hAnsi="Arial Narrow" w:cs="Arial"/>
        </w:rPr>
        <w:t>mment les mesures prises pour li</w:t>
      </w:r>
      <w:r w:rsidR="0023749B" w:rsidRPr="00B27D4E">
        <w:rPr>
          <w:rFonts w:ascii="Arial Narrow" w:hAnsi="Arial Narrow" w:cs="Arial"/>
        </w:rPr>
        <w:t>miter l’impact environnemental des emballages u</w:t>
      </w:r>
      <w:r w:rsidR="00255846" w:rsidRPr="00B27D4E">
        <w:rPr>
          <w:rFonts w:ascii="Arial Narrow" w:hAnsi="Arial Narrow" w:cs="Arial"/>
        </w:rPr>
        <w:t xml:space="preserve">tilisés ainsi que celui généré </w:t>
      </w:r>
      <w:r w:rsidR="0023749B" w:rsidRPr="00B27D4E">
        <w:rPr>
          <w:rFonts w:ascii="Arial Narrow" w:hAnsi="Arial Narrow" w:cs="Arial"/>
        </w:rPr>
        <w:t>par les livraison</w:t>
      </w:r>
      <w:r w:rsidR="00255846" w:rsidRPr="00B27D4E">
        <w:rPr>
          <w:rFonts w:ascii="Arial Narrow" w:hAnsi="Arial Narrow" w:cs="Arial"/>
        </w:rPr>
        <w:t>s liées aux commandes</w:t>
      </w:r>
      <w:r w:rsidR="00BB1CE1" w:rsidRPr="00B27D4E">
        <w:rPr>
          <w:rFonts w:ascii="Arial Narrow" w:hAnsi="Arial Narrow" w:cs="Arial"/>
        </w:rPr>
        <w:t>. Le soumissionnaire décrira notamment pour cela</w:t>
      </w:r>
      <w:r w:rsidR="00255846" w:rsidRPr="00B27D4E">
        <w:rPr>
          <w:rFonts w:ascii="Arial Narrow" w:hAnsi="Arial Narrow" w:cs="Arial"/>
        </w:rPr>
        <w:t xml:space="preserve"> </w:t>
      </w:r>
      <w:r w:rsidR="00BB1CE1" w:rsidRPr="00B27D4E">
        <w:rPr>
          <w:rFonts w:ascii="Arial Narrow" w:hAnsi="Arial Narrow" w:cs="Arial"/>
        </w:rPr>
        <w:t xml:space="preserve">les </w:t>
      </w:r>
      <w:r w:rsidR="0023749B" w:rsidRPr="00B27D4E">
        <w:rPr>
          <w:rFonts w:ascii="Arial Narrow" w:hAnsi="Arial Narrow" w:cs="Arial"/>
          <w:lang w:eastAsia="fr-FR"/>
        </w:rPr>
        <w:t>modalités</w:t>
      </w:r>
      <w:r w:rsidR="00BB1CE1" w:rsidRPr="00B27D4E">
        <w:rPr>
          <w:rFonts w:ascii="Arial Narrow" w:hAnsi="Arial Narrow" w:cs="Arial"/>
          <w:lang w:eastAsia="fr-FR"/>
        </w:rPr>
        <w:t xml:space="preserve"> de livraison et indiquera les </w:t>
      </w:r>
      <w:r w:rsidR="00255846" w:rsidRPr="00B27D4E">
        <w:rPr>
          <w:rFonts w:ascii="Arial Narrow" w:hAnsi="Arial Narrow" w:cs="Arial"/>
          <w:lang w:eastAsia="fr-FR"/>
        </w:rPr>
        <w:t xml:space="preserve">véhicules </w:t>
      </w:r>
      <w:r w:rsidR="00B2326C" w:rsidRPr="00B27D4E">
        <w:rPr>
          <w:rFonts w:ascii="Arial Narrow" w:hAnsi="Arial Narrow" w:cs="Arial"/>
          <w:lang w:eastAsia="fr-FR"/>
        </w:rPr>
        <w:t>utilisés</w:t>
      </w:r>
      <w:r w:rsidR="00BB1CE1" w:rsidRPr="00B27D4E">
        <w:rPr>
          <w:rFonts w:ascii="Arial Narrow" w:hAnsi="Arial Narrow" w:cs="Arial"/>
          <w:lang w:eastAsia="fr-FR"/>
        </w:rPr>
        <w:t xml:space="preserve"> pour limiter cet impact</w:t>
      </w:r>
      <w:r w:rsidR="0023749B" w:rsidRPr="00B27D4E">
        <w:rPr>
          <w:rFonts w:ascii="Arial Narrow" w:hAnsi="Arial Narrow" w:cs="Arial"/>
          <w:lang w:eastAsia="fr-FR"/>
        </w:rPr>
        <w:t xml:space="preserve"> </w:t>
      </w:r>
      <w:proofErr w:type="spellStart"/>
      <w:r w:rsidR="00255846" w:rsidRPr="00B27D4E">
        <w:rPr>
          <w:rFonts w:ascii="Arial Narrow" w:hAnsi="Arial Narrow" w:cs="Arial"/>
          <w:lang w:eastAsia="fr-FR"/>
        </w:rPr>
        <w:t>etc</w:t>
      </w:r>
      <w:proofErr w:type="spellEnd"/>
    </w:p>
    <w:p w14:paraId="76DA37C8" w14:textId="30442E62" w:rsidR="003765CC" w:rsidRDefault="003765CC" w:rsidP="00F41E74">
      <w:pPr>
        <w:pStyle w:val="Corpsdetexte"/>
        <w:widowControl w:val="0"/>
        <w:spacing w:after="0"/>
        <w:ind w:left="720"/>
        <w:rPr>
          <w:rFonts w:ascii="Arial Narrow" w:hAnsi="Arial Narrow"/>
          <w:lang w:eastAsia="fr-FR"/>
        </w:rPr>
      </w:pPr>
    </w:p>
    <w:p w14:paraId="1C14C6EB" w14:textId="77777777" w:rsidR="00973612" w:rsidRPr="00973612" w:rsidRDefault="00973612" w:rsidP="00F41E74">
      <w:pPr>
        <w:pStyle w:val="Corpsdetexte"/>
        <w:widowControl w:val="0"/>
        <w:spacing w:after="0"/>
        <w:ind w:left="720"/>
        <w:rPr>
          <w:rFonts w:ascii="Arial Narrow" w:hAnsi="Arial Narrow"/>
          <w:b/>
          <w:lang w:eastAsia="fr-FR"/>
        </w:rPr>
      </w:pPr>
      <w:r w:rsidRPr="00973612">
        <w:rPr>
          <w:rFonts w:ascii="Arial Narrow" w:hAnsi="Arial Narrow"/>
          <w:b/>
          <w:lang w:eastAsia="fr-FR"/>
        </w:rPr>
        <w:t xml:space="preserve">Le candidat doit remettre l’ensemble les éléments dans son dossier de réponse. </w:t>
      </w:r>
    </w:p>
    <w:p w14:paraId="42B424EB" w14:textId="0D4FDEE4" w:rsidR="00973612" w:rsidRPr="00973612" w:rsidRDefault="00973612" w:rsidP="00F41E74">
      <w:pPr>
        <w:pStyle w:val="Corpsdetexte"/>
        <w:widowControl w:val="0"/>
        <w:spacing w:after="0"/>
        <w:ind w:left="720"/>
        <w:rPr>
          <w:rFonts w:ascii="Arial Narrow" w:hAnsi="Arial Narrow"/>
          <w:b/>
          <w:lang w:eastAsia="fr-FR"/>
        </w:rPr>
      </w:pPr>
      <w:r w:rsidRPr="00973612">
        <w:rPr>
          <w:rFonts w:ascii="Arial Narrow" w:hAnsi="Arial Narrow"/>
          <w:b/>
          <w:lang w:eastAsia="fr-FR"/>
        </w:rPr>
        <w:t>Les renvois à des documents accessibles via des liens ne seront pas pris en compte pour l’analyse</w:t>
      </w:r>
    </w:p>
    <w:p w14:paraId="653D3BA2" w14:textId="77777777" w:rsidR="00973612" w:rsidRPr="003E63FD" w:rsidRDefault="00973612"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6496FDF6" w14:textId="77777777" w:rsidR="00921B5D" w:rsidRPr="003E63FD" w:rsidRDefault="00921B5D" w:rsidP="00921B5D">
      <w:pPr>
        <w:pStyle w:val="Corpsdetexte"/>
        <w:numPr>
          <w:ilvl w:val="0"/>
          <w:numId w:val="14"/>
        </w:numPr>
        <w:spacing w:after="240"/>
        <w:ind w:left="425" w:hanging="357"/>
        <w:rPr>
          <w:rFonts w:ascii="Arial Narrow" w:hAnsi="Arial Narrow"/>
          <w:b/>
          <w:lang w:eastAsia="fr-FR"/>
        </w:rPr>
      </w:pPr>
      <w:r w:rsidRPr="003E63FD">
        <w:rPr>
          <w:rFonts w:ascii="Arial Narrow" w:hAnsi="Arial Narrow"/>
          <w:b/>
        </w:rPr>
        <w:t>Cotraitance</w:t>
      </w:r>
    </w:p>
    <w:p w14:paraId="0F99A202"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13E8DFD3"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67DF64DC"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02D4982" w14:textId="5ADE5D3B" w:rsidR="00921B5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Cette exigence est justifiée par </w:t>
      </w:r>
      <w:r w:rsidRPr="00CD7319">
        <w:rPr>
          <w:rFonts w:ascii="Arial Narrow" w:hAnsi="Arial Narrow"/>
        </w:rPr>
        <w:t>le caractère complexe des prestations et leur importance au regard de l’ensemble du chantier et du calendrier global de l’opération. Une défaillance sur ces travaux structurants pour l’opération pourrait entrainer des complications importantes pour la suite de l’exécution et un décalage du planning global qui ne pourra être absorbé par l’</w:t>
      </w:r>
      <w:r w:rsidR="00D67046">
        <w:rPr>
          <w:rFonts w:ascii="Arial Narrow" w:hAnsi="Arial Narrow"/>
        </w:rPr>
        <w:t>EPMO-VGE</w:t>
      </w:r>
      <w:r w:rsidRPr="00CD7319">
        <w:rPr>
          <w:rFonts w:ascii="Arial Narrow" w:hAnsi="Arial Narrow"/>
        </w:rPr>
        <w:t>.</w:t>
      </w:r>
    </w:p>
    <w:p w14:paraId="64699DD2" w14:textId="77777777" w:rsidR="00921B5D" w:rsidRPr="003E63FD" w:rsidRDefault="00921B5D" w:rsidP="00921B5D">
      <w:pPr>
        <w:pStyle w:val="Sansinterligne"/>
        <w:spacing w:after="120" w:line="360" w:lineRule="auto"/>
        <w:jc w:val="both"/>
        <w:rPr>
          <w:rFonts w:ascii="Arial Narrow" w:hAnsi="Arial Narrow"/>
        </w:rPr>
      </w:pPr>
    </w:p>
    <w:p w14:paraId="42D877D4" w14:textId="26C05DC3" w:rsidR="00921B5D" w:rsidRPr="003E63FD" w:rsidRDefault="00921B5D" w:rsidP="00886106">
      <w:pPr>
        <w:pStyle w:val="Corpsdetexte"/>
        <w:numPr>
          <w:ilvl w:val="1"/>
          <w:numId w:val="39"/>
        </w:numPr>
        <w:spacing w:after="240"/>
        <w:rPr>
          <w:rFonts w:ascii="Arial Narrow" w:hAnsi="Arial Narrow"/>
          <w:b/>
        </w:rPr>
      </w:pPr>
      <w:r w:rsidRPr="003E63FD">
        <w:rPr>
          <w:rFonts w:ascii="Arial Narrow" w:hAnsi="Arial Narrow"/>
          <w:b/>
        </w:rPr>
        <w:t>Sous-traitance</w:t>
      </w:r>
    </w:p>
    <w:p w14:paraId="0579CF85" w14:textId="77777777"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2D1ACA14" w14:textId="77777777" w:rsidR="00921B5D" w:rsidRPr="009808CD" w:rsidRDefault="00921B5D" w:rsidP="00921B5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1" w:history="1">
        <w:r w:rsidRPr="009808CD">
          <w:rPr>
            <w:rStyle w:val="Lienhypertexte"/>
            <w:rFonts w:ascii="Arial Narrow" w:hAnsi="Arial Narrow"/>
            <w:iCs/>
          </w:rPr>
          <w:t>https://www.economie.gouv.fr/daj/formulaires-declaration-du-candidat</w:t>
        </w:r>
      </w:hyperlink>
    </w:p>
    <w:p w14:paraId="77C733E9" w14:textId="77777777" w:rsidR="00921B5D" w:rsidRPr="009808CD" w:rsidRDefault="00921B5D" w:rsidP="00921B5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301F58E6" w14:textId="70DBA78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w:t>
      </w:r>
      <w:r w:rsidR="00D67046">
        <w:rPr>
          <w:rFonts w:ascii="Arial Narrow" w:hAnsi="Arial Narrow"/>
          <w:iCs/>
        </w:rPr>
        <w:t>EPMO-VGE</w:t>
      </w:r>
      <w:r w:rsidRPr="009808CD">
        <w:rPr>
          <w:rFonts w:ascii="Arial Narrow" w:hAnsi="Arial Narrow"/>
          <w:iCs/>
        </w:rPr>
        <w:t xml:space="preserve"> (voir sur la signature des pièces l’article 6.3 du présent règlement de la consultation).</w:t>
      </w:r>
    </w:p>
    <w:p w14:paraId="3DA22EB8" w14:textId="0B213F64"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w:t>
      </w:r>
      <w:r w:rsidR="00D67046">
        <w:rPr>
          <w:rFonts w:ascii="Arial Narrow" w:hAnsi="Arial Narrow"/>
          <w:iCs/>
        </w:rPr>
        <w:t>EPMO-VGE</w:t>
      </w:r>
      <w:r w:rsidRPr="009808CD">
        <w:rPr>
          <w:rFonts w:ascii="Arial Narrow" w:hAnsi="Arial Narrow"/>
          <w:iCs/>
        </w:rPr>
        <w:t xml:space="preserve"> vaudra acceptation du sous-traitant et agrément de ses conditions de paiement.</w:t>
      </w:r>
    </w:p>
    <w:p w14:paraId="11E72768" w14:textId="4C25A37E" w:rsidR="00921B5D" w:rsidRDefault="00921B5D" w:rsidP="00921B5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Pr>
          <w:rFonts w:ascii="Arial Narrow" w:hAnsi="Arial Narrow"/>
          <w:iCs/>
        </w:rPr>
        <w:t>.</w:t>
      </w:r>
    </w:p>
    <w:p w14:paraId="5AFDEB91" w14:textId="77777777" w:rsidR="00921B5D" w:rsidRDefault="00921B5D" w:rsidP="00921B5D">
      <w:pPr>
        <w:pStyle w:val="Corpsdetexte"/>
        <w:rPr>
          <w:rFonts w:ascii="Arial Narrow" w:hAnsi="Arial Narrow"/>
          <w:iCs/>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4670116B"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w:t>
      </w:r>
      <w:r w:rsidR="00D67046">
        <w:rPr>
          <w:rFonts w:ascii="Arial Narrow" w:hAnsi="Arial Narrow"/>
          <w:lang w:eastAsia="fr-FR"/>
        </w:rPr>
        <w:t>EPMO-VGE</w:t>
      </w:r>
      <w:r w:rsidRPr="007C5A2D">
        <w:rPr>
          <w:rFonts w:ascii="Arial Narrow" w:hAnsi="Arial Narrow"/>
          <w:lang w:eastAsia="fr-FR"/>
        </w:rPr>
        <w:t>, sur support papier ou sur support physique électronique</w:t>
      </w:r>
      <w:r w:rsidR="004117CC" w:rsidRPr="007C5A2D">
        <w:rPr>
          <w:rFonts w:ascii="Arial Narrow" w:hAnsi="Arial Narrow"/>
          <w:lang w:eastAsia="fr-FR"/>
        </w:rPr>
        <w:t xml:space="preserve"> ou par voie </w:t>
      </w:r>
      <w:proofErr w:type="spellStart"/>
      <w:r w:rsidR="004117CC" w:rsidRPr="007C5A2D">
        <w:rPr>
          <w:rFonts w:ascii="Arial Narrow" w:hAnsi="Arial Narrow"/>
          <w:lang w:eastAsia="fr-FR"/>
        </w:rPr>
        <w:t>dématéralisée</w:t>
      </w:r>
      <w:proofErr w:type="spellEnd"/>
      <w:r w:rsidRPr="003E63FD">
        <w:rPr>
          <w:rFonts w:ascii="Arial Narrow" w:hAnsi="Arial Narrow"/>
          <w:lang w:eastAsia="fr-FR"/>
        </w:rPr>
        <w:t xml:space="preserve">, une copie de sauvegarde de leur dossier dans les conditions fixées par l’arrêté du 22 </w:t>
      </w:r>
      <w:r w:rsidRPr="003E63FD">
        <w:rPr>
          <w:rFonts w:ascii="Arial Narrow" w:hAnsi="Arial Narrow"/>
          <w:lang w:eastAsia="fr-FR"/>
        </w:rPr>
        <w:lastRenderedPageBreak/>
        <w:t>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50596104" w14:textId="77777777" w:rsidR="00BB3A51" w:rsidRPr="00D94505" w:rsidRDefault="00BB3A51" w:rsidP="00BB3A51">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1BF22653" w14:textId="77777777" w:rsidR="00451C6C" w:rsidRDefault="00451C6C" w:rsidP="00FA3D03">
      <w:pPr>
        <w:rPr>
          <w:rFonts w:ascii="Arial Narrow" w:hAnsi="Arial Narrow"/>
          <w:lang w:eastAsia="fr-FR"/>
        </w:rPr>
      </w:pPr>
    </w:p>
    <w:p w14:paraId="281D4B6C" w14:textId="6A742072" w:rsidR="00B828BD" w:rsidRPr="00AC3573" w:rsidRDefault="00451C6C" w:rsidP="00451C6C">
      <w:pPr>
        <w:jc w:val="center"/>
        <w:rPr>
          <w:rFonts w:ascii="Arial Narrow" w:hAnsi="Arial Narrow"/>
          <w:lang w:eastAsia="fr-FR"/>
        </w:rPr>
      </w:pPr>
      <w:r>
        <w:rPr>
          <w:rFonts w:ascii="Arial Narrow" w:hAnsi="Arial Narrow"/>
          <w:lang w:eastAsia="fr-FR"/>
        </w:rPr>
        <w:t>« </w:t>
      </w:r>
      <w:r w:rsidRPr="00451C6C">
        <w:rPr>
          <w:rFonts w:ascii="Arial Narrow" w:hAnsi="Arial Narrow"/>
          <w:lang w:eastAsia="fr-FR"/>
        </w:rPr>
        <w:t>Fourniture</w:t>
      </w:r>
      <w:r w:rsidR="00B535C1">
        <w:rPr>
          <w:rFonts w:ascii="Arial Narrow" w:hAnsi="Arial Narrow"/>
          <w:lang w:eastAsia="fr-FR"/>
        </w:rPr>
        <w:t xml:space="preserve"> d’éclairage pour l’EPMO-</w:t>
      </w:r>
      <w:proofErr w:type="gramStart"/>
      <w:r w:rsidR="00B535C1">
        <w:rPr>
          <w:rFonts w:ascii="Arial Narrow" w:hAnsi="Arial Narrow"/>
          <w:lang w:eastAsia="fr-FR"/>
        </w:rPr>
        <w:t>VGE</w:t>
      </w:r>
      <w:r w:rsidR="00B56270">
        <w:rPr>
          <w:rFonts w:ascii="Arial Narrow" w:hAnsi="Arial Narrow"/>
          <w:lang w:eastAsia="fr-FR"/>
        </w:rPr>
        <w:t>»</w:t>
      </w:r>
      <w:proofErr w:type="gramEnd"/>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5DE0513A" w14:textId="3D7EE78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sidR="00BB3A51">
        <w:rPr>
          <w:rFonts w:ascii="Arial Narrow" w:hAnsi="Arial Narrow"/>
          <w:b/>
          <w:lang w:val="en-IE" w:eastAsia="fr-FR"/>
        </w:rPr>
        <w:t>007</w:t>
      </w:r>
      <w:r w:rsidRPr="00A74853">
        <w:rPr>
          <w:rFonts w:ascii="Arial Narrow" w:hAnsi="Arial Narrow"/>
          <w:b/>
          <w:lang w:val="en-IE" w:eastAsia="fr-FR"/>
        </w:rPr>
        <w:t xml:space="preserve"> Paris </w:t>
      </w:r>
    </w:p>
    <w:p w14:paraId="3922E2D5" w14:textId="77777777" w:rsidR="00F105D8" w:rsidRPr="00457434" w:rsidRDefault="00F105D8" w:rsidP="00B05E70">
      <w:pPr>
        <w:pStyle w:val="Corpsdetexte"/>
        <w:spacing w:after="160" w:line="259" w:lineRule="auto"/>
        <w:jc w:val="center"/>
        <w:rPr>
          <w:rFonts w:ascii="Arial Narrow" w:hAnsi="Arial Narrow"/>
        </w:rPr>
      </w:pPr>
    </w:p>
    <w:p w14:paraId="5FBDEACF" w14:textId="40901F68" w:rsidR="002C5191" w:rsidRPr="003E63FD" w:rsidRDefault="00886106" w:rsidP="00886106">
      <w:pPr>
        <w:pStyle w:val="Corpsdetexte"/>
        <w:spacing w:after="240"/>
        <w:ind w:left="360"/>
        <w:rPr>
          <w:rFonts w:ascii="Arial Narrow" w:hAnsi="Arial Narrow"/>
          <w:b/>
          <w:lang w:eastAsia="fr-FR"/>
        </w:rPr>
      </w:pPr>
      <w:r>
        <w:rPr>
          <w:rFonts w:ascii="Arial Narrow" w:hAnsi="Arial Narrow"/>
          <w:b/>
          <w:lang w:eastAsia="fr-FR"/>
        </w:rPr>
        <w:t>6.3</w:t>
      </w:r>
      <w:r w:rsidR="003F3420"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082CC2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D67046">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B940D5"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5A7823D9"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09A157D1" w:rsidR="00B2326C"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BB3A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3589FC50" w14:textId="77777777" w:rsidR="00EC6141" w:rsidRPr="003E63FD" w:rsidRDefault="00EC6141" w:rsidP="00910D6B">
      <w:pPr>
        <w:pStyle w:val="Corpsdetexte"/>
        <w:widowControl w:val="0"/>
        <w:autoSpaceDE w:val="0"/>
        <w:autoSpaceDN w:val="0"/>
        <w:adjustRightInd w:val="0"/>
        <w:spacing w:after="240"/>
        <w:rPr>
          <w:rFonts w:ascii="Arial Narrow" w:hAnsi="Arial Narrow"/>
        </w:rPr>
      </w:pPr>
    </w:p>
    <w:p w14:paraId="6370EF79" w14:textId="77777777" w:rsidR="00EC6141" w:rsidRPr="00B2326C"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2326C">
        <w:rPr>
          <w:rFonts w:ascii="Arial Narrow" w:hAnsi="Arial Narrow"/>
          <w:b/>
        </w:rPr>
        <w:t>Jugement des offres</w:t>
      </w:r>
    </w:p>
    <w:p w14:paraId="61F0524E" w14:textId="4BB3858E" w:rsidR="00457434" w:rsidRPr="00F714D1" w:rsidRDefault="004302A7" w:rsidP="00FE46F4">
      <w:pPr>
        <w:pStyle w:val="Corpsdetexte"/>
        <w:rPr>
          <w:rFonts w:ascii="Arial Narrow" w:hAnsi="Arial Narrow"/>
        </w:rPr>
      </w:pPr>
      <w:r w:rsidRPr="003E63FD">
        <w:rPr>
          <w:rFonts w:ascii="Arial Narrow" w:hAnsi="Arial Narrow"/>
        </w:rPr>
        <w:t>L’offre économiquement la plus avantageuse sera appréciée en fonction des critè</w:t>
      </w:r>
      <w:r w:rsidR="00457434">
        <w:rPr>
          <w:rFonts w:ascii="Arial Narrow" w:hAnsi="Arial Narrow"/>
        </w:rPr>
        <w:t>res pondérés énoncés ci-</w:t>
      </w:r>
      <w:r w:rsidR="00457434" w:rsidRPr="00F714D1">
        <w:rPr>
          <w:rFonts w:ascii="Arial Narrow" w:hAnsi="Arial Narrow"/>
        </w:rPr>
        <w:t>dessous </w:t>
      </w:r>
      <w:r w:rsidRPr="00F714D1">
        <w:rPr>
          <w:rFonts w:ascii="Arial Narrow" w:hAnsi="Arial Narrow"/>
        </w:rPr>
        <w:t>:</w:t>
      </w:r>
    </w:p>
    <w:p w14:paraId="5BA91C13" w14:textId="6316715B" w:rsidR="00B535C1" w:rsidRDefault="00B535C1" w:rsidP="00AF765E">
      <w:pPr>
        <w:tabs>
          <w:tab w:val="left" w:pos="7513"/>
        </w:tabs>
        <w:rPr>
          <w:rFonts w:ascii="Arial Narrow" w:hAnsi="Arial Narrow"/>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B535C1" w:rsidRPr="00F714D1" w14:paraId="5DBD441D" w14:textId="77777777" w:rsidTr="00F23A9E">
        <w:trPr>
          <w:trHeight w:val="537"/>
        </w:trPr>
        <w:tc>
          <w:tcPr>
            <w:tcW w:w="4394" w:type="pct"/>
            <w:shd w:val="clear" w:color="auto" w:fill="DEEAF6" w:themeFill="accent1" w:themeFillTint="33"/>
            <w:vAlign w:val="center"/>
          </w:tcPr>
          <w:p w14:paraId="6F37ED5C" w14:textId="77777777" w:rsidR="00B535C1" w:rsidRPr="00F714D1" w:rsidRDefault="00B535C1" w:rsidP="00F23A9E">
            <w:pPr>
              <w:pStyle w:val="Titre1"/>
            </w:pPr>
            <w:r w:rsidRPr="00E87436">
              <w:t>Critère 1 - Valeur technique appréciée à partir des éléments ci-dessous</w:t>
            </w:r>
          </w:p>
        </w:tc>
        <w:tc>
          <w:tcPr>
            <w:tcW w:w="606" w:type="pct"/>
            <w:shd w:val="clear" w:color="auto" w:fill="DEEAF6" w:themeFill="accent1" w:themeFillTint="33"/>
            <w:vAlign w:val="center"/>
          </w:tcPr>
          <w:p w14:paraId="4F99E399" w14:textId="77777777" w:rsidR="00B535C1" w:rsidRPr="00F714D1" w:rsidRDefault="00B535C1" w:rsidP="00F23A9E">
            <w:pPr>
              <w:spacing w:before="120" w:after="0"/>
              <w:rPr>
                <w:rFonts w:ascii="Arial Narrow" w:eastAsia="Lucida Sans Unicode" w:hAnsi="Arial Narrow" w:cs="Arial"/>
                <w:b/>
              </w:rPr>
            </w:pPr>
            <w:r>
              <w:rPr>
                <w:rFonts w:ascii="Arial Narrow" w:eastAsia="Lucida Sans Unicode" w:hAnsi="Arial Narrow" w:cs="Arial"/>
                <w:b/>
              </w:rPr>
              <w:t>2</w:t>
            </w:r>
            <w:r w:rsidRPr="00F714D1">
              <w:rPr>
                <w:rFonts w:ascii="Arial Narrow" w:eastAsia="Lucida Sans Unicode" w:hAnsi="Arial Narrow" w:cs="Arial"/>
                <w:b/>
              </w:rPr>
              <w:t>0%</w:t>
            </w:r>
          </w:p>
        </w:tc>
      </w:tr>
      <w:tr w:rsidR="00B535C1" w:rsidRPr="00F714D1" w14:paraId="6731A8E9" w14:textId="77777777" w:rsidTr="00F23A9E">
        <w:trPr>
          <w:trHeight w:val="537"/>
        </w:trPr>
        <w:tc>
          <w:tcPr>
            <w:tcW w:w="4394" w:type="pct"/>
            <w:shd w:val="clear" w:color="auto" w:fill="auto"/>
            <w:vAlign w:val="center"/>
          </w:tcPr>
          <w:p w14:paraId="11FBBB5D" w14:textId="0C7AB671" w:rsidR="00B535C1" w:rsidRPr="003F4980" w:rsidRDefault="00973612" w:rsidP="00B940D5">
            <w:pPr>
              <w:pStyle w:val="En-tte"/>
              <w:tabs>
                <w:tab w:val="clear" w:pos="4536"/>
                <w:tab w:val="clear" w:pos="9072"/>
              </w:tabs>
              <w:spacing w:before="120" w:after="120"/>
              <w:jc w:val="both"/>
              <w:rPr>
                <w:rFonts w:ascii="Arial Narrow" w:eastAsia="Lucida Sans Unicode" w:hAnsi="Arial Narrow" w:cs="Arial"/>
                <w:highlight w:val="yellow"/>
              </w:rPr>
            </w:pPr>
            <w:r>
              <w:rPr>
                <w:rFonts w:ascii="Arial Narrow" w:eastAsia="Lucida Sans Unicode" w:hAnsi="Arial Narrow" w:cs="Arial"/>
              </w:rPr>
              <w:t>1.1</w:t>
            </w:r>
            <w:r w:rsidR="00B535C1" w:rsidRPr="00973612">
              <w:rPr>
                <w:rFonts w:ascii="Arial Narrow" w:eastAsia="Lucida Sans Unicode" w:hAnsi="Arial Narrow" w:cs="Arial"/>
              </w:rPr>
              <w:t xml:space="preserve"> performa</w:t>
            </w:r>
            <w:r w:rsidR="00F6205C" w:rsidRPr="00973612">
              <w:rPr>
                <w:rFonts w:ascii="Arial Narrow" w:eastAsia="Lucida Sans Unicode" w:hAnsi="Arial Narrow" w:cs="Arial"/>
              </w:rPr>
              <w:t>nces techniques et esthétiques </w:t>
            </w:r>
            <w:r w:rsidR="00886106">
              <w:rPr>
                <w:rFonts w:ascii="Arial Narrow" w:eastAsia="Lucida Sans Unicode" w:hAnsi="Arial Narrow" w:cs="Arial"/>
              </w:rPr>
              <w:t>des fournitures</w:t>
            </w:r>
            <w:r w:rsidR="00F6205C" w:rsidRPr="00973612">
              <w:rPr>
                <w:rFonts w:ascii="Arial Narrow" w:eastAsia="Lucida Sans Unicode" w:hAnsi="Arial Narrow" w:cs="Arial"/>
              </w:rPr>
              <w:t xml:space="preserve">: durée de vie, </w:t>
            </w:r>
            <w:r w:rsidR="00B535C1" w:rsidRPr="00973612">
              <w:rPr>
                <w:rFonts w:ascii="Arial Narrow" w:eastAsia="Lucida Sans Unicode" w:hAnsi="Arial Narrow" w:cs="Arial"/>
              </w:rPr>
              <w:t xml:space="preserve">homogénéité, adaptation à </w:t>
            </w:r>
            <w:r w:rsidR="00886106">
              <w:rPr>
                <w:rFonts w:ascii="Arial Narrow" w:eastAsia="Lucida Sans Unicode" w:hAnsi="Arial Narrow" w:cs="Arial"/>
              </w:rPr>
              <w:t>leur</w:t>
            </w:r>
            <w:r w:rsidR="00B535C1" w:rsidRPr="00973612">
              <w:rPr>
                <w:rFonts w:ascii="Arial Narrow" w:eastAsia="Lucida Sans Unicode" w:hAnsi="Arial Narrow" w:cs="Arial"/>
              </w:rPr>
              <w:t xml:space="preserve"> en</w:t>
            </w:r>
            <w:r w:rsidR="003F4980" w:rsidRPr="00973612">
              <w:rPr>
                <w:rFonts w:ascii="Arial Narrow" w:eastAsia="Lucida Sans Unicode" w:hAnsi="Arial Narrow" w:cs="Arial"/>
              </w:rPr>
              <w:t>vironnemen</w:t>
            </w:r>
            <w:r w:rsidRPr="00973612">
              <w:rPr>
                <w:rFonts w:ascii="Arial Narrow" w:eastAsia="Lucida Sans Unicode" w:hAnsi="Arial Narrow" w:cs="Arial"/>
              </w:rPr>
              <w:t>t</w:t>
            </w:r>
            <w:r w:rsidR="003F4980" w:rsidRPr="00973612">
              <w:rPr>
                <w:rFonts w:ascii="Arial Narrow" w:eastAsia="Lucida Sans Unicode" w:hAnsi="Arial Narrow" w:cs="Arial"/>
              </w:rPr>
              <w:t xml:space="preserve"> à partir des fiches </w:t>
            </w:r>
            <w:r w:rsidR="002B77B9" w:rsidRPr="00973612">
              <w:rPr>
                <w:rFonts w:ascii="Arial Narrow" w:eastAsia="Lucida Sans Unicode" w:hAnsi="Arial Narrow" w:cs="Arial"/>
              </w:rPr>
              <w:t>technique</w:t>
            </w:r>
            <w:bookmarkStart w:id="0" w:name="_GoBack"/>
            <w:bookmarkEnd w:id="0"/>
            <w:r w:rsidR="002B77B9" w:rsidRPr="00973612">
              <w:rPr>
                <w:rFonts w:ascii="Arial Narrow" w:eastAsia="Lucida Sans Unicode" w:hAnsi="Arial Narrow" w:cs="Arial"/>
              </w:rPr>
              <w:t>s</w:t>
            </w:r>
          </w:p>
        </w:tc>
        <w:tc>
          <w:tcPr>
            <w:tcW w:w="606" w:type="pct"/>
            <w:shd w:val="clear" w:color="auto" w:fill="auto"/>
            <w:vAlign w:val="center"/>
          </w:tcPr>
          <w:p w14:paraId="014FA320" w14:textId="2CF2F642" w:rsidR="00B535C1" w:rsidRPr="00E87436" w:rsidRDefault="00FA3D03" w:rsidP="00F23A9E">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50%</w:t>
            </w:r>
          </w:p>
        </w:tc>
      </w:tr>
      <w:tr w:rsidR="00B535C1" w:rsidRPr="00F714D1" w14:paraId="24ABE324" w14:textId="77777777" w:rsidTr="00F23A9E">
        <w:trPr>
          <w:trHeight w:val="537"/>
        </w:trPr>
        <w:tc>
          <w:tcPr>
            <w:tcW w:w="4394" w:type="pct"/>
            <w:shd w:val="clear" w:color="auto" w:fill="auto"/>
            <w:vAlign w:val="center"/>
          </w:tcPr>
          <w:p w14:paraId="5E505D61" w14:textId="43CB1BA1" w:rsidR="00B535C1" w:rsidRPr="00FA3D03" w:rsidRDefault="00B535C1" w:rsidP="00B940D5">
            <w:pPr>
              <w:pStyle w:val="En-tte"/>
              <w:tabs>
                <w:tab w:val="clear" w:pos="4536"/>
                <w:tab w:val="clear" w:pos="9072"/>
              </w:tabs>
              <w:spacing w:before="120" w:after="120"/>
              <w:jc w:val="both"/>
              <w:rPr>
                <w:rFonts w:ascii="Arial Narrow" w:eastAsia="Lucida Sans Unicode" w:hAnsi="Arial Narrow" w:cs="Arial"/>
              </w:rPr>
            </w:pPr>
            <w:r w:rsidRPr="00B940D5">
              <w:rPr>
                <w:rFonts w:ascii="Arial Narrow" w:eastAsia="Lucida Sans Unicode" w:hAnsi="Arial Narrow" w:cs="Arial"/>
              </w:rPr>
              <w:t xml:space="preserve">1.2 </w:t>
            </w:r>
            <w:r w:rsidR="00B27D4E" w:rsidRPr="00B940D5">
              <w:rPr>
                <w:rFonts w:ascii="Arial Narrow" w:eastAsia="Lucida Sans Unicode" w:hAnsi="Arial Narrow" w:cs="Arial"/>
              </w:rPr>
              <w:t>délais de livraison et justificatifs visant à garantir les meilleurs délais possibles pour une livraison, organisation logistique mise en place permettant de minimiser ces délais. Conditions de livraison et de reprise lors de la livraison si nécessaire</w:t>
            </w:r>
          </w:p>
          <w:p w14:paraId="53615545" w14:textId="4EF1039B" w:rsidR="00B535C1" w:rsidRPr="00FA3D03" w:rsidRDefault="00B535C1" w:rsidP="00F23A9E">
            <w:pPr>
              <w:pStyle w:val="En-tte"/>
              <w:tabs>
                <w:tab w:val="clear" w:pos="4536"/>
                <w:tab w:val="clear" w:pos="9072"/>
              </w:tabs>
              <w:spacing w:before="120" w:after="120"/>
              <w:rPr>
                <w:rFonts w:ascii="Arial Narrow" w:eastAsia="Lucida Sans Unicode" w:hAnsi="Arial Narrow" w:cs="Arial"/>
              </w:rPr>
            </w:pPr>
          </w:p>
        </w:tc>
        <w:tc>
          <w:tcPr>
            <w:tcW w:w="606" w:type="pct"/>
            <w:shd w:val="clear" w:color="auto" w:fill="auto"/>
            <w:vAlign w:val="center"/>
          </w:tcPr>
          <w:p w14:paraId="58112456" w14:textId="46BA1032" w:rsidR="00B535C1" w:rsidRPr="00E87436" w:rsidRDefault="00FA3D03" w:rsidP="00F23A9E">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40%</w:t>
            </w:r>
          </w:p>
        </w:tc>
      </w:tr>
      <w:tr w:rsidR="00B535C1" w:rsidRPr="00F714D1" w14:paraId="40BA320C" w14:textId="77777777" w:rsidTr="00F23A9E">
        <w:trPr>
          <w:trHeight w:val="537"/>
        </w:trPr>
        <w:tc>
          <w:tcPr>
            <w:tcW w:w="4394" w:type="pct"/>
            <w:shd w:val="clear" w:color="auto" w:fill="auto"/>
            <w:vAlign w:val="center"/>
          </w:tcPr>
          <w:p w14:paraId="2AE1480D" w14:textId="00A61120" w:rsidR="00B535C1" w:rsidRPr="00FA3D03" w:rsidRDefault="00B535C1" w:rsidP="00F6205C">
            <w:pPr>
              <w:pStyle w:val="En-tte"/>
              <w:tabs>
                <w:tab w:val="clear" w:pos="4536"/>
                <w:tab w:val="clear" w:pos="9072"/>
              </w:tabs>
              <w:spacing w:before="120" w:after="120"/>
              <w:rPr>
                <w:rFonts w:ascii="Arial Narrow" w:eastAsia="Lucida Sans Unicode" w:hAnsi="Arial Narrow" w:cs="Arial"/>
              </w:rPr>
            </w:pPr>
            <w:r w:rsidRPr="00FA3D03">
              <w:rPr>
                <w:rFonts w:ascii="Arial Narrow" w:eastAsia="Lucida Sans Unicode" w:hAnsi="Arial Narrow" w:cs="Arial"/>
              </w:rPr>
              <w:t xml:space="preserve">1.3 Le service après-vente : les conditions et délais de reprise des produits livrés en cas de défaut constaté </w:t>
            </w:r>
            <w:r w:rsidRPr="00886106">
              <w:rPr>
                <w:rFonts w:ascii="Arial Narrow" w:eastAsia="Lucida Sans Unicode" w:hAnsi="Arial Narrow" w:cs="Arial"/>
                <w:b/>
                <w:u w:val="single"/>
              </w:rPr>
              <w:t>pendant la période de garantie</w:t>
            </w:r>
            <w:r w:rsidRPr="00FA3D03">
              <w:rPr>
                <w:rFonts w:ascii="Arial Narrow" w:eastAsia="Lucida Sans Unicode" w:hAnsi="Arial Narrow" w:cs="Arial"/>
              </w:rPr>
              <w:t xml:space="preserve">  </w:t>
            </w:r>
          </w:p>
          <w:p w14:paraId="6E1D7A1D" w14:textId="2DF49404" w:rsidR="00B535C1" w:rsidRPr="00FA3D03" w:rsidRDefault="00B535C1" w:rsidP="00F23A9E">
            <w:pPr>
              <w:pStyle w:val="En-tte"/>
              <w:tabs>
                <w:tab w:val="clear" w:pos="4536"/>
                <w:tab w:val="clear" w:pos="9072"/>
              </w:tabs>
              <w:spacing w:before="120" w:after="120"/>
              <w:rPr>
                <w:rFonts w:ascii="Arial Narrow" w:eastAsia="Lucida Sans Unicode" w:hAnsi="Arial Narrow" w:cs="Arial"/>
              </w:rPr>
            </w:pPr>
          </w:p>
        </w:tc>
        <w:tc>
          <w:tcPr>
            <w:tcW w:w="606" w:type="pct"/>
            <w:shd w:val="clear" w:color="auto" w:fill="auto"/>
            <w:vAlign w:val="center"/>
          </w:tcPr>
          <w:p w14:paraId="7BE2A3FE" w14:textId="7ECA8A52" w:rsidR="00B535C1" w:rsidRPr="00E87436" w:rsidRDefault="00FA3D03" w:rsidP="00F23A9E">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10%</w:t>
            </w:r>
          </w:p>
        </w:tc>
      </w:tr>
      <w:tr w:rsidR="00B535C1" w:rsidRPr="00F714D1" w14:paraId="3D18C2C9" w14:textId="77777777" w:rsidTr="00F23A9E">
        <w:trPr>
          <w:trHeight w:val="565"/>
        </w:trPr>
        <w:tc>
          <w:tcPr>
            <w:tcW w:w="4394" w:type="pct"/>
            <w:shd w:val="clear" w:color="auto" w:fill="DEEAF6" w:themeFill="accent1" w:themeFillTint="33"/>
            <w:vAlign w:val="center"/>
          </w:tcPr>
          <w:p w14:paraId="382149C9" w14:textId="14607969" w:rsidR="00B535C1" w:rsidRDefault="00B535C1" w:rsidP="00F23A9E">
            <w:pPr>
              <w:spacing w:before="120" w:after="0"/>
              <w:rPr>
                <w:rFonts w:ascii="Arial Narrow" w:hAnsi="Arial Narrow"/>
                <w:b/>
                <w:color w:val="FF0000"/>
                <w:lang w:eastAsia="fr-FR"/>
              </w:rPr>
            </w:pPr>
            <w:r w:rsidRPr="00F714D1">
              <w:rPr>
                <w:rFonts w:ascii="Arial Narrow" w:eastAsia="Lucida Sans Unicode" w:hAnsi="Arial Narrow" w:cs="Arial"/>
                <w:b/>
              </w:rPr>
              <w:t xml:space="preserve">Critère 2 - </w:t>
            </w:r>
            <w:r w:rsidRPr="00F714D1">
              <w:rPr>
                <w:rFonts w:ascii="Arial Narrow" w:hAnsi="Arial Narrow"/>
                <w:b/>
                <w:lang w:eastAsia="fr-FR"/>
              </w:rPr>
              <w:t>Enjeux de développement durable apprécié</w:t>
            </w:r>
            <w:r>
              <w:rPr>
                <w:rFonts w:ascii="Arial Narrow" w:hAnsi="Arial Narrow"/>
                <w:b/>
                <w:lang w:eastAsia="fr-FR"/>
              </w:rPr>
              <w:t>s</w:t>
            </w:r>
            <w:r w:rsidRPr="00F714D1">
              <w:rPr>
                <w:rFonts w:ascii="Arial Narrow" w:hAnsi="Arial Narrow"/>
                <w:b/>
                <w:lang w:eastAsia="fr-FR"/>
              </w:rPr>
              <w:t xml:space="preserve"> à partir des éléments remis dans le mémoire de développement durable</w:t>
            </w:r>
            <w:r>
              <w:rPr>
                <w:rFonts w:ascii="Arial Narrow" w:hAnsi="Arial Narrow"/>
                <w:b/>
                <w:lang w:eastAsia="fr-FR"/>
              </w:rPr>
              <w:t xml:space="preserve"> </w:t>
            </w:r>
            <w:r w:rsidRPr="00834D61">
              <w:rPr>
                <w:rFonts w:ascii="Arial Narrow" w:hAnsi="Arial Narrow"/>
                <w:b/>
                <w:color w:val="FF0000"/>
                <w:lang w:eastAsia="fr-FR"/>
              </w:rPr>
              <w:t xml:space="preserve">tel que décrit </w:t>
            </w:r>
            <w:r w:rsidRPr="00973612">
              <w:rPr>
                <w:rFonts w:ascii="Arial Narrow" w:hAnsi="Arial Narrow"/>
                <w:b/>
                <w:color w:val="FF0000"/>
                <w:lang w:eastAsia="fr-FR"/>
              </w:rPr>
              <w:t xml:space="preserve">à l’article </w:t>
            </w:r>
            <w:r w:rsidR="00C12442" w:rsidRPr="00973612">
              <w:rPr>
                <w:rFonts w:ascii="Arial Narrow" w:hAnsi="Arial Narrow"/>
                <w:b/>
                <w:color w:val="FF0000"/>
                <w:lang w:eastAsia="fr-FR"/>
              </w:rPr>
              <w:t>4</w:t>
            </w:r>
            <w:r w:rsidRPr="00973612">
              <w:rPr>
                <w:rFonts w:ascii="Arial Narrow" w:hAnsi="Arial Narrow"/>
                <w:b/>
                <w:color w:val="FF0000"/>
                <w:lang w:eastAsia="fr-FR"/>
              </w:rPr>
              <w:t>.2 du présent document</w:t>
            </w:r>
          </w:p>
          <w:p w14:paraId="7729EBE0" w14:textId="32CCF9EA" w:rsidR="00F6205C" w:rsidRPr="00F714D1" w:rsidRDefault="00F6205C" w:rsidP="00F6205C">
            <w:pPr>
              <w:spacing w:before="120" w:after="0"/>
              <w:rPr>
                <w:rFonts w:ascii="Arial Narrow" w:eastAsia="Lucida Sans Unicode" w:hAnsi="Arial Narrow" w:cs="Arial"/>
                <w:b/>
              </w:rPr>
            </w:pPr>
          </w:p>
        </w:tc>
        <w:tc>
          <w:tcPr>
            <w:tcW w:w="606" w:type="pct"/>
            <w:shd w:val="clear" w:color="auto" w:fill="DEEAF6" w:themeFill="accent1" w:themeFillTint="33"/>
            <w:vAlign w:val="center"/>
          </w:tcPr>
          <w:p w14:paraId="1E4AF7FF" w14:textId="77777777" w:rsidR="00B535C1" w:rsidRPr="00F714D1" w:rsidRDefault="00B535C1" w:rsidP="00F23A9E">
            <w:pPr>
              <w:spacing w:before="120" w:after="0"/>
              <w:rPr>
                <w:rFonts w:ascii="Arial Narrow" w:eastAsia="Lucida Sans Unicode" w:hAnsi="Arial Narrow" w:cs="Arial"/>
                <w:b/>
              </w:rPr>
            </w:pPr>
            <w:r w:rsidRPr="00F714D1">
              <w:rPr>
                <w:rFonts w:ascii="Arial Narrow" w:eastAsia="Lucida Sans Unicode" w:hAnsi="Arial Narrow" w:cs="Arial"/>
                <w:b/>
              </w:rPr>
              <w:t>10 %</w:t>
            </w:r>
          </w:p>
        </w:tc>
      </w:tr>
      <w:tr w:rsidR="00B535C1" w:rsidRPr="00F714D1" w14:paraId="559A2D89" w14:textId="77777777" w:rsidTr="00F23A9E">
        <w:trPr>
          <w:trHeight w:val="565"/>
        </w:trPr>
        <w:tc>
          <w:tcPr>
            <w:tcW w:w="4394" w:type="pct"/>
            <w:shd w:val="clear" w:color="auto" w:fill="DEEAF6" w:themeFill="accent1" w:themeFillTint="33"/>
            <w:vAlign w:val="center"/>
          </w:tcPr>
          <w:p w14:paraId="79F567FE" w14:textId="77777777" w:rsidR="00B535C1" w:rsidRPr="00F714D1" w:rsidRDefault="00B535C1" w:rsidP="00F23A9E">
            <w:pPr>
              <w:spacing w:before="120" w:after="0"/>
              <w:rPr>
                <w:rFonts w:ascii="Arial Narrow" w:eastAsia="Lucida Sans Unicode" w:hAnsi="Arial Narrow"/>
              </w:rPr>
            </w:pPr>
            <w:r w:rsidRPr="00F714D1">
              <w:rPr>
                <w:rFonts w:ascii="Arial Narrow" w:eastAsia="Lucida Sans Unicode" w:hAnsi="Arial Narrow"/>
                <w:b/>
              </w:rPr>
              <w:t>Critère 3 - Prix</w:t>
            </w:r>
            <w:r w:rsidRPr="00F714D1">
              <w:rPr>
                <w:rFonts w:ascii="Arial Narrow" w:eastAsia="Lucida Sans Unicode" w:hAnsi="Arial Narrow"/>
              </w:rPr>
              <w:t xml:space="preserve"> </w:t>
            </w:r>
            <w:r w:rsidRPr="00F714D1">
              <w:rPr>
                <w:rFonts w:ascii="Arial Narrow" w:eastAsia="Lucida Sans Unicode" w:hAnsi="Arial Narrow"/>
                <w:b/>
              </w:rPr>
              <w:t>des prestations :</w:t>
            </w:r>
          </w:p>
        </w:tc>
        <w:tc>
          <w:tcPr>
            <w:tcW w:w="606" w:type="pct"/>
            <w:shd w:val="clear" w:color="auto" w:fill="DEEAF6" w:themeFill="accent1" w:themeFillTint="33"/>
            <w:vAlign w:val="center"/>
          </w:tcPr>
          <w:p w14:paraId="56A36658" w14:textId="77777777" w:rsidR="00B535C1" w:rsidRPr="00F714D1" w:rsidRDefault="00B535C1" w:rsidP="00F23A9E">
            <w:pPr>
              <w:spacing w:before="120" w:after="0"/>
              <w:rPr>
                <w:rFonts w:ascii="Arial Narrow" w:eastAsia="Lucida Sans Unicode" w:hAnsi="Arial Narrow" w:cs="Arial"/>
                <w:b/>
              </w:rPr>
            </w:pPr>
            <w:r>
              <w:rPr>
                <w:rFonts w:ascii="Arial Narrow" w:eastAsia="Lucida Sans Unicode" w:hAnsi="Arial Narrow" w:cs="Arial"/>
                <w:b/>
              </w:rPr>
              <w:t>7</w:t>
            </w:r>
            <w:r w:rsidRPr="00F714D1">
              <w:rPr>
                <w:rFonts w:ascii="Arial Narrow" w:eastAsia="Lucida Sans Unicode" w:hAnsi="Arial Narrow" w:cs="Arial"/>
                <w:b/>
              </w:rPr>
              <w:t>0%</w:t>
            </w:r>
          </w:p>
        </w:tc>
      </w:tr>
      <w:tr w:rsidR="00B535C1" w:rsidRPr="00F714D1" w14:paraId="74D94571" w14:textId="77777777" w:rsidTr="00F23A9E">
        <w:trPr>
          <w:trHeight w:val="565"/>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16D1CC5F" w14:textId="77777777" w:rsidR="00B535C1" w:rsidRPr="00F714D1" w:rsidRDefault="00B535C1" w:rsidP="00F23A9E">
            <w:pPr>
              <w:pStyle w:val="En-tte"/>
              <w:tabs>
                <w:tab w:val="clear" w:pos="4536"/>
                <w:tab w:val="clear" w:pos="9072"/>
              </w:tabs>
              <w:spacing w:before="120" w:after="120"/>
              <w:rPr>
                <w:rFonts w:ascii="Arial Narrow" w:eastAsia="Lucida Sans Unicode" w:hAnsi="Arial Narrow" w:cs="Arial"/>
              </w:rPr>
            </w:pPr>
            <w:r w:rsidRPr="00F714D1">
              <w:rPr>
                <w:rFonts w:ascii="Arial Narrow" w:eastAsia="Lucida Sans Unicode" w:hAnsi="Arial Narrow" w:cs="Arial"/>
              </w:rPr>
              <w:t xml:space="preserve">3.1. Montant </w:t>
            </w:r>
            <w:r>
              <w:rPr>
                <w:rFonts w:ascii="Arial Narrow" w:eastAsia="Lucida Sans Unicode" w:hAnsi="Arial Narrow" w:cs="Arial"/>
              </w:rPr>
              <w:t>total du DQE</w:t>
            </w:r>
            <w:r w:rsidRPr="00F714D1">
              <w:rPr>
                <w:rFonts w:ascii="Arial Narrow" w:eastAsia="Lucida Sans Unicode" w:hAnsi="Arial Narrow" w:cs="Arial"/>
              </w:rPr>
              <w:t xml:space="preserve"> </w:t>
            </w:r>
            <w:r>
              <w:rPr>
                <w:rFonts w:ascii="Arial Narrow" w:eastAsia="Lucida Sans Unicode" w:hAnsi="Arial Narrow" w:cs="Arial"/>
              </w:rPr>
              <w:t xml:space="preserve">en euros TTC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99A05B2" w14:textId="77777777" w:rsidR="00B535C1" w:rsidRPr="00C17D99" w:rsidRDefault="00B535C1" w:rsidP="00F23A9E">
            <w:pPr>
              <w:spacing w:before="120" w:after="0"/>
              <w:rPr>
                <w:rFonts w:ascii="Arial Narrow" w:eastAsia="Lucida Sans Unicode" w:hAnsi="Arial Narrow" w:cs="Arial"/>
              </w:rPr>
            </w:pPr>
            <w:r w:rsidRPr="00C17D99">
              <w:rPr>
                <w:rFonts w:ascii="Arial Narrow" w:eastAsia="Lucida Sans Unicode" w:hAnsi="Arial Narrow" w:cs="Arial"/>
              </w:rPr>
              <w:t>60%</w:t>
            </w:r>
          </w:p>
        </w:tc>
      </w:tr>
      <w:tr w:rsidR="00B535C1" w:rsidRPr="00F714D1" w14:paraId="7B47181F" w14:textId="77777777" w:rsidTr="00F23A9E">
        <w:trPr>
          <w:trHeight w:val="399"/>
        </w:trPr>
        <w:tc>
          <w:tcPr>
            <w:tcW w:w="4394" w:type="pct"/>
            <w:tcBorders>
              <w:top w:val="single" w:sz="4" w:space="0" w:color="auto"/>
              <w:left w:val="single" w:sz="4" w:space="0" w:color="auto"/>
              <w:bottom w:val="single" w:sz="4" w:space="0" w:color="auto"/>
              <w:right w:val="single" w:sz="4" w:space="0" w:color="auto"/>
            </w:tcBorders>
            <w:shd w:val="clear" w:color="auto" w:fill="auto"/>
            <w:vAlign w:val="center"/>
          </w:tcPr>
          <w:p w14:paraId="4E4A00B4" w14:textId="77777777" w:rsidR="00B535C1" w:rsidRPr="00F714D1" w:rsidRDefault="00B535C1" w:rsidP="00F23A9E">
            <w:pPr>
              <w:pStyle w:val="En-tte"/>
              <w:tabs>
                <w:tab w:val="clear" w:pos="4536"/>
                <w:tab w:val="clear" w:pos="9072"/>
              </w:tabs>
              <w:spacing w:before="120" w:after="120" w:line="259" w:lineRule="auto"/>
              <w:rPr>
                <w:rFonts w:ascii="Arial Narrow" w:eastAsia="Lucida Sans Unicode" w:hAnsi="Arial Narrow" w:cs="Arial"/>
              </w:rPr>
            </w:pPr>
            <w:r w:rsidRPr="00F714D1">
              <w:rPr>
                <w:rFonts w:ascii="Arial Narrow" w:eastAsia="Lucida Sans Unicode" w:hAnsi="Arial Narrow" w:cs="Arial"/>
              </w:rPr>
              <w:t>3.2.</w:t>
            </w:r>
            <w:r>
              <w:rPr>
                <w:rFonts w:ascii="Arial Narrow" w:eastAsia="Lucida Sans Unicode" w:hAnsi="Arial Narrow" w:cs="Arial"/>
              </w:rPr>
              <w:t xml:space="preserve"> Montant total TTC de la commande fictive sur laquelle est appliquée le coefficient de remise</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809CE96" w14:textId="77777777" w:rsidR="00B535C1" w:rsidRPr="00C17D99" w:rsidRDefault="00B535C1" w:rsidP="00F23A9E">
            <w:pPr>
              <w:spacing w:before="120" w:after="0"/>
              <w:rPr>
                <w:rFonts w:ascii="Arial Narrow" w:eastAsia="Lucida Sans Unicode" w:hAnsi="Arial Narrow" w:cs="Arial"/>
              </w:rPr>
            </w:pPr>
            <w:r>
              <w:rPr>
                <w:rFonts w:ascii="Arial Narrow" w:eastAsia="Lucida Sans Unicode" w:hAnsi="Arial Narrow" w:cs="Arial"/>
              </w:rPr>
              <w:t>4</w:t>
            </w:r>
            <w:r w:rsidRPr="00C17D99">
              <w:rPr>
                <w:rFonts w:ascii="Arial Narrow" w:eastAsia="Lucida Sans Unicode" w:hAnsi="Arial Narrow" w:cs="Arial"/>
              </w:rPr>
              <w:t>0%</w:t>
            </w:r>
          </w:p>
        </w:tc>
      </w:tr>
    </w:tbl>
    <w:p w14:paraId="6F07A385" w14:textId="77777777" w:rsidR="00B535C1" w:rsidRPr="003E63FD" w:rsidRDefault="00B535C1" w:rsidP="00AF765E">
      <w:pPr>
        <w:tabs>
          <w:tab w:val="left" w:pos="7513"/>
        </w:tabs>
        <w:rPr>
          <w:rFonts w:ascii="Arial Narrow" w:hAnsi="Arial Narrow"/>
          <w:lang w:eastAsia="fr-FR"/>
        </w:rPr>
      </w:pPr>
    </w:p>
    <w:p w14:paraId="469209B2" w14:textId="77777777" w:rsidR="00921B5D" w:rsidRPr="003E63FD" w:rsidRDefault="00921B5D" w:rsidP="00921B5D">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 critères « valeur technique » et « </w:t>
      </w:r>
      <w:r>
        <w:rPr>
          <w:rFonts w:ascii="Arial Narrow" w:eastAsiaTheme="minorHAnsi" w:hAnsi="Arial Narrow" w:cstheme="minorBidi"/>
          <w:color w:val="auto"/>
          <w:sz w:val="22"/>
          <w:u w:val="single"/>
        </w:rPr>
        <w:t>valeur environnementale</w:t>
      </w:r>
      <w:r w:rsidRPr="003E63FD">
        <w:rPr>
          <w:rFonts w:ascii="Arial Narrow" w:eastAsiaTheme="minorHAnsi" w:hAnsi="Arial Narrow" w:cstheme="minorBidi"/>
          <w:color w:val="auto"/>
          <w:sz w:val="22"/>
          <w:u w:val="single"/>
        </w:rPr>
        <w:t> »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0A0B96CD"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w:t>
      </w:r>
      <w:r w:rsidRPr="00044295">
        <w:rPr>
          <w:rFonts w:ascii="Arial Narrow" w:eastAsiaTheme="minorHAnsi" w:hAnsi="Arial Narrow" w:cstheme="minorBidi"/>
          <w:color w:val="auto"/>
          <w:sz w:val="22"/>
          <w:u w:val="single"/>
        </w:rPr>
        <w:t>prix »</w:t>
      </w:r>
      <w:r w:rsidR="00CE4A76" w:rsidRPr="00044295">
        <w:rPr>
          <w:rFonts w:ascii="Arial Narrow" w:eastAsiaTheme="minorHAnsi" w:hAnsi="Arial Narrow" w:cstheme="minorBidi"/>
          <w:color w:val="auto"/>
          <w:sz w:val="22"/>
          <w:u w:val="single"/>
        </w:rPr>
        <w:t> </w:t>
      </w:r>
      <w:proofErr w:type="gramStart"/>
      <w:r w:rsidR="005B1028">
        <w:rPr>
          <w:rFonts w:ascii="Arial Narrow" w:eastAsiaTheme="minorHAnsi" w:hAnsi="Arial Narrow" w:cstheme="minorBidi"/>
          <w:color w:val="auto"/>
          <w:sz w:val="22"/>
          <w:u w:val="single"/>
        </w:rPr>
        <w:t>(</w:t>
      </w:r>
      <w:r w:rsidR="00BC2DC1" w:rsidRPr="00044295">
        <w:rPr>
          <w:rFonts w:ascii="Arial Narrow" w:eastAsiaTheme="minorHAnsi" w:hAnsi="Arial Narrow" w:cstheme="minorBidi"/>
          <w:color w:val="auto"/>
          <w:sz w:val="22"/>
          <w:u w:val="single"/>
        </w:rPr>
        <w:t xml:space="preserve"> </w:t>
      </w:r>
      <w:r w:rsidR="00AA1529" w:rsidRPr="00044295">
        <w:rPr>
          <w:rFonts w:ascii="Arial Narrow" w:eastAsiaTheme="minorHAnsi" w:hAnsi="Arial Narrow" w:cstheme="minorBidi"/>
          <w:color w:val="auto"/>
          <w:sz w:val="22"/>
          <w:u w:val="single"/>
        </w:rPr>
        <w:t>DQE</w:t>
      </w:r>
      <w:proofErr w:type="gramEnd"/>
      <w:r w:rsidR="00BC2DC1" w:rsidRPr="00044295">
        <w:rPr>
          <w:rFonts w:ascii="Arial Narrow" w:eastAsiaTheme="minorHAnsi" w:hAnsi="Arial Narrow" w:cstheme="minorBidi"/>
          <w:color w:val="auto"/>
          <w:sz w:val="22"/>
          <w:u w:val="single"/>
        </w:rPr>
        <w:t xml:space="preserve"> et</w:t>
      </w:r>
      <w:r w:rsidR="005B1028">
        <w:rPr>
          <w:rFonts w:ascii="Arial Narrow" w:eastAsiaTheme="minorHAnsi" w:hAnsi="Arial Narrow" w:cstheme="minorBidi"/>
          <w:color w:val="auto"/>
          <w:sz w:val="22"/>
          <w:u w:val="single"/>
        </w:rPr>
        <w:t xml:space="preserve"> commande fictive</w:t>
      </w:r>
      <w:r w:rsidR="00F41E74" w:rsidRPr="00044295">
        <w:rPr>
          <w:rFonts w:ascii="Arial Narrow" w:eastAsiaTheme="minorHAnsi" w:hAnsi="Arial Narrow" w:cstheme="minorBidi"/>
          <w:color w:val="auto"/>
          <w:sz w:val="22"/>
          <w:u w:val="single"/>
        </w:rPr>
        <w:t>)</w:t>
      </w:r>
    </w:p>
    <w:p w14:paraId="39DD444E" w14:textId="2CB5CD89" w:rsidR="004302A7" w:rsidRDefault="004302A7" w:rsidP="004302A7">
      <w:pPr>
        <w:jc w:val="center"/>
        <w:rPr>
          <w:rFonts w:ascii="Arial Narrow" w:hAnsi="Arial Narrow"/>
        </w:rPr>
      </w:pPr>
      <w:r w:rsidRPr="003E63FD">
        <w:rPr>
          <w:rFonts w:ascii="Arial Narrow" w:hAnsi="Arial Narrow"/>
        </w:rPr>
        <w:t xml:space="preserve">(Prix du candidat </w:t>
      </w:r>
      <w:r w:rsidR="00921B5D">
        <w:rPr>
          <w:rFonts w:ascii="Arial Narrow" w:hAnsi="Arial Narrow"/>
        </w:rPr>
        <w:t xml:space="preserve">en euros </w:t>
      </w:r>
      <w:r w:rsidR="00B56270">
        <w:rPr>
          <w:rFonts w:ascii="Arial Narrow" w:hAnsi="Arial Narrow"/>
        </w:rPr>
        <w:t>TTC</w:t>
      </w:r>
      <w:r w:rsidRPr="003E63FD">
        <w:rPr>
          <w:rFonts w:ascii="Arial Narrow" w:hAnsi="Arial Narrow"/>
        </w:rPr>
        <w:t xml:space="preserve"> le moins cher x 5) / Prix du candidat à noter = note / 5</w:t>
      </w:r>
    </w:p>
    <w:p w14:paraId="559AC2B5" w14:textId="77777777" w:rsidR="00ED00CF" w:rsidRPr="003E63FD" w:rsidRDefault="00ED00CF" w:rsidP="004302A7">
      <w:pPr>
        <w:jc w:val="center"/>
        <w:rPr>
          <w:rFonts w:ascii="Arial Narrow" w:hAnsi="Arial Narrow"/>
        </w:rPr>
      </w:pPr>
    </w:p>
    <w:p w14:paraId="6C7332B1" w14:textId="77777777" w:rsidR="00921B5D" w:rsidRPr="003E63FD" w:rsidRDefault="00921B5D" w:rsidP="00921B5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QUESTIONNAIRE EGALITE DIVERSITE</w:t>
      </w:r>
    </w:p>
    <w:p w14:paraId="1A6CA1F8" w14:textId="28DE9E3C" w:rsidR="00921B5D" w:rsidRPr="00D06103" w:rsidRDefault="00921B5D" w:rsidP="00921B5D">
      <w:pPr>
        <w:pStyle w:val="Corpsdetexte"/>
        <w:rPr>
          <w:rFonts w:ascii="Arial Narrow" w:hAnsi="Arial Narrow"/>
          <w:lang w:eastAsia="fr-FR"/>
        </w:rPr>
      </w:pP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48E6FB3" w14:textId="77777777" w:rsidR="00921B5D" w:rsidRPr="00D06103" w:rsidRDefault="00921B5D" w:rsidP="00921B5D">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760003D" w14:textId="77777777" w:rsidR="00921B5D" w:rsidRPr="00D06103"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8F618AD" w14:textId="19924B44" w:rsidR="00921B5D" w:rsidRPr="00ED7A25"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sidR="00D67046">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541D69B5" w14:textId="021B00E4" w:rsidR="00921B5D" w:rsidRPr="00D06103" w:rsidRDefault="00921B5D" w:rsidP="00921B5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D67046">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76D1BD3" w14:textId="4C078D59" w:rsidR="00921B5D" w:rsidRDefault="00921B5D" w:rsidP="00921B5D">
      <w:pPr>
        <w:pStyle w:val="Corpsdetexte"/>
        <w:rPr>
          <w:rFonts w:ascii="Arial Narrow" w:hAnsi="Arial Narrow"/>
          <w:lang w:eastAsia="fr-FR"/>
        </w:rPr>
      </w:pPr>
      <w:r w:rsidRPr="00FD670D">
        <w:rPr>
          <w:rFonts w:ascii="Arial Narrow" w:hAnsi="Arial Narrow"/>
          <w:lang w:eastAsia="fr-FR"/>
        </w:rPr>
        <w:t>Compte tenu de cette ambition, il est demandé à l’attributaire de remplir au moment de la signature du marché le questionnaire « Egalité professionnelle et diversité professionnelle » proposé par l’</w:t>
      </w:r>
      <w:r w:rsidR="00D67046" w:rsidRPr="00FD670D">
        <w:rPr>
          <w:rFonts w:ascii="Arial Narrow" w:hAnsi="Arial Narrow"/>
          <w:lang w:eastAsia="fr-FR"/>
        </w:rPr>
        <w:t>EPMO-VGE</w:t>
      </w:r>
      <w:r w:rsidR="00044295" w:rsidRPr="00FD670D">
        <w:rPr>
          <w:rFonts w:ascii="Arial Narrow" w:hAnsi="Arial Narrow"/>
          <w:lang w:eastAsia="fr-FR"/>
        </w:rPr>
        <w:t xml:space="preserve"> accessible via le lien suivant</w:t>
      </w:r>
      <w:r w:rsidR="00044295">
        <w:rPr>
          <w:rFonts w:ascii="Arial Narrow" w:hAnsi="Arial Narrow"/>
          <w:lang w:eastAsia="fr-FR"/>
        </w:rPr>
        <w:t xml:space="preserve"> </w:t>
      </w:r>
    </w:p>
    <w:p w14:paraId="0D722CB2" w14:textId="2268974F" w:rsidR="00044295" w:rsidRPr="00D06103" w:rsidRDefault="00B940D5" w:rsidP="00921B5D">
      <w:pPr>
        <w:pStyle w:val="Corpsdetexte"/>
        <w:rPr>
          <w:rFonts w:ascii="Arial Narrow" w:hAnsi="Arial Narrow"/>
          <w:lang w:eastAsia="fr-FR"/>
        </w:rPr>
      </w:pPr>
      <w:hyperlink r:id="rId14" w:history="1">
        <w:r w:rsidR="00044295">
          <w:rPr>
            <w:rStyle w:val="Lienhypertexte"/>
          </w:rPr>
          <w:t>Questionnaire égalité-diversité des marchés du Ministère de la Culture - 1/4</w:t>
        </w:r>
      </w:hyperlink>
    </w:p>
    <w:p w14:paraId="7FD123AC"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5527C44"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875FD12" w14:textId="7D3358B7" w:rsidR="00921B5D" w:rsidRDefault="00921B5D" w:rsidP="00921B5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5DF6475" w14:textId="77777777" w:rsidR="00921B5D" w:rsidRDefault="00921B5D" w:rsidP="00921B5D">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8AA6C1C" w14:textId="5D18EC17" w:rsidR="00921B5D" w:rsidRPr="003E63FD" w:rsidRDefault="00921B5D" w:rsidP="00921B5D">
      <w:pPr>
        <w:pStyle w:val="Corpsdetexte"/>
        <w:spacing w:after="240"/>
        <w:rPr>
          <w:rFonts w:ascii="Arial Narrow" w:hAnsi="Arial Narrow"/>
        </w:rPr>
      </w:pPr>
      <w:r w:rsidRPr="003E63FD">
        <w:rPr>
          <w:rFonts w:ascii="Arial Narrow" w:hAnsi="Arial Narrow"/>
        </w:rPr>
        <w:t>Avant tout recours, le candidat a la possibilité de contacter l’</w:t>
      </w:r>
      <w:r w:rsidR="00D67046">
        <w:rPr>
          <w:rFonts w:ascii="Arial Narrow" w:hAnsi="Arial Narrow"/>
        </w:rPr>
        <w:t>EPMO-VGE</w:t>
      </w:r>
      <w:r w:rsidRPr="003E63FD">
        <w:rPr>
          <w:rFonts w:ascii="Arial Narrow" w:hAnsi="Arial Narrow"/>
        </w:rPr>
        <w:t xml:space="preserve"> afin de trouver une solution amiable.</w:t>
      </w:r>
    </w:p>
    <w:p w14:paraId="4C09E810" w14:textId="0B67DF48" w:rsidR="00921B5D" w:rsidRPr="003E63FD" w:rsidRDefault="00921B5D" w:rsidP="00921B5D">
      <w:pPr>
        <w:pStyle w:val="Corpsdetexte"/>
        <w:spacing w:after="240"/>
        <w:rPr>
          <w:rFonts w:ascii="Arial Narrow" w:hAnsi="Arial Narrow"/>
        </w:rPr>
      </w:pPr>
      <w:r w:rsidRPr="003E63FD">
        <w:rPr>
          <w:rFonts w:ascii="Arial Narrow" w:hAnsi="Arial Narrow"/>
        </w:rPr>
        <w:lastRenderedPageBreak/>
        <w:t xml:space="preserve">Les procédures de passation des contrats de la commande publique peuvent être contestées devant le juge administratif par le biais des recours suivants : </w:t>
      </w:r>
    </w:p>
    <w:p w14:paraId="2294C4E4" w14:textId="3A0B2F22" w:rsidR="00921B5D" w:rsidRPr="003E63FD" w:rsidRDefault="00921B5D" w:rsidP="00921B5D">
      <w:pPr>
        <w:pStyle w:val="Corpsdetexte"/>
        <w:spacing w:after="240"/>
        <w:rPr>
          <w:rFonts w:ascii="Arial Narrow" w:hAnsi="Arial Narrow"/>
        </w:rPr>
      </w:pPr>
      <w:r w:rsidRPr="003E63FD">
        <w:rPr>
          <w:rFonts w:ascii="Arial Narrow" w:hAnsi="Arial Narrow"/>
        </w:rPr>
        <w:t>Le référé précontractuel jusqu’à la signature du marché. Cette procédure d’urgence est régie par les articles L. 551-1 à L. 551-12 et R. 551-1 à R. 551-6 du code de justice administrative.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0523479" w14:textId="77E16328" w:rsidR="00921B5D" w:rsidRPr="00921B5D" w:rsidRDefault="00921B5D" w:rsidP="00921B5D">
      <w:pPr>
        <w:pStyle w:val="Corpsdetexte"/>
        <w:spacing w:after="240"/>
        <w:rPr>
          <w:rFonts w:ascii="Arial Narrow" w:hAnsi="Arial Narrow"/>
        </w:rPr>
      </w:pPr>
      <w:r w:rsidRPr="00921B5D">
        <w:rPr>
          <w:rFonts w:ascii="Arial Narrow" w:hAnsi="Arial Narrow"/>
        </w:rPr>
        <w:t>Le recours de pleine juridiction en contestation de la validité du contrat qui devra être exercé dans un délai de 2 mois à compter de l’accomplissement des mesures de publicité appropriées.</w:t>
      </w:r>
    </w:p>
    <w:p w14:paraId="2CB3D109" w14:textId="77777777" w:rsidR="00921B5D" w:rsidRPr="003E63FD" w:rsidRDefault="00921B5D" w:rsidP="00921B5D">
      <w:pPr>
        <w:pStyle w:val="Corpsdetexte"/>
        <w:spacing w:after="240"/>
        <w:ind w:left="720"/>
        <w:rPr>
          <w:rFonts w:ascii="Arial Narrow" w:hAnsi="Arial Narrow"/>
        </w:rPr>
      </w:pPr>
      <w:r w:rsidRPr="003E63FD">
        <w:rPr>
          <w:rFonts w:ascii="Arial Narrow" w:hAnsi="Arial Narrow"/>
        </w:rPr>
        <w:t>L’instance compétente pour présenter un recours est :</w:t>
      </w:r>
    </w:p>
    <w:p w14:paraId="09672043"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Tribunal administratif de Paris – 7 Rue de Jouy, 75004 Paris</w:t>
      </w:r>
    </w:p>
    <w:p w14:paraId="544D6396"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Téléphone : 01 44 59 44 00</w:t>
      </w:r>
    </w:p>
    <w:p w14:paraId="37F242A4"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Télécopie : 01 44 59 46 46</w:t>
      </w:r>
    </w:p>
    <w:p w14:paraId="63F35C8D" w14:textId="77777777" w:rsidR="00921B5D" w:rsidRPr="003E63FD" w:rsidRDefault="00921B5D" w:rsidP="00921B5D">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0A32784C" w14:textId="77777777" w:rsidR="00921B5D" w:rsidRPr="003E63FD" w:rsidRDefault="00921B5D" w:rsidP="00921B5D">
      <w:pPr>
        <w:pStyle w:val="Corpsdetexte"/>
        <w:spacing w:after="0"/>
        <w:ind w:left="36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ACBE4" w14:textId="77777777" w:rsidR="00BF4CDD" w:rsidRDefault="00BF4CDD" w:rsidP="00E42FF3">
      <w:pPr>
        <w:spacing w:after="0" w:line="240" w:lineRule="auto"/>
      </w:pPr>
      <w:r>
        <w:separator/>
      </w:r>
    </w:p>
  </w:endnote>
  <w:endnote w:type="continuationSeparator" w:id="0">
    <w:p w14:paraId="43A7F2B2" w14:textId="77777777" w:rsidR="00BF4CDD" w:rsidRDefault="00BF4CD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D4C10C2" w:rsidR="00EC6141" w:rsidRDefault="00EC6141">
        <w:pPr>
          <w:pStyle w:val="Pieddepage"/>
          <w:jc w:val="right"/>
        </w:pPr>
        <w:r>
          <w:fldChar w:fldCharType="begin"/>
        </w:r>
        <w:r>
          <w:instrText>PAGE   \* MERGEFORMAT</w:instrText>
        </w:r>
        <w:r>
          <w:fldChar w:fldCharType="separate"/>
        </w:r>
        <w:r w:rsidR="00B940D5">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C9E3D" w14:textId="77777777" w:rsidR="00BF4CDD" w:rsidRDefault="00BF4CDD" w:rsidP="00E42FF3">
      <w:pPr>
        <w:spacing w:after="0" w:line="240" w:lineRule="auto"/>
      </w:pPr>
      <w:r>
        <w:separator/>
      </w:r>
    </w:p>
  </w:footnote>
  <w:footnote w:type="continuationSeparator" w:id="0">
    <w:p w14:paraId="08278861" w14:textId="77777777" w:rsidR="00BF4CDD" w:rsidRDefault="00BF4CDD"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3CD90C62"/>
    <w:multiLevelType w:val="multilevel"/>
    <w:tmpl w:val="A16AF0D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AD9302D"/>
    <w:multiLevelType w:val="multilevel"/>
    <w:tmpl w:val="F93052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1"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31"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647104"/>
    <w:multiLevelType w:val="hybridMultilevel"/>
    <w:tmpl w:val="D304BCAA"/>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6"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3582A"/>
    <w:multiLevelType w:val="multilevel"/>
    <w:tmpl w:val="4B708AE6"/>
    <w:lvl w:ilvl="0">
      <w:start w:val="1"/>
      <w:numFmt w:val="none"/>
      <w:lvlText w:val="5.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3"/>
  </w:num>
  <w:num w:numId="2">
    <w:abstractNumId w:val="10"/>
  </w:num>
  <w:num w:numId="3">
    <w:abstractNumId w:val="27"/>
  </w:num>
  <w:num w:numId="4">
    <w:abstractNumId w:val="17"/>
  </w:num>
  <w:num w:numId="5">
    <w:abstractNumId w:val="0"/>
  </w:num>
  <w:num w:numId="6">
    <w:abstractNumId w:val="36"/>
  </w:num>
  <w:num w:numId="7">
    <w:abstractNumId w:val="24"/>
  </w:num>
  <w:num w:numId="8">
    <w:abstractNumId w:val="2"/>
  </w:num>
  <w:num w:numId="9">
    <w:abstractNumId w:val="29"/>
  </w:num>
  <w:num w:numId="10">
    <w:abstractNumId w:val="26"/>
  </w:num>
  <w:num w:numId="11">
    <w:abstractNumId w:val="18"/>
  </w:num>
  <w:num w:numId="12">
    <w:abstractNumId w:val="34"/>
  </w:num>
  <w:num w:numId="13">
    <w:abstractNumId w:val="25"/>
  </w:num>
  <w:num w:numId="14">
    <w:abstractNumId w:val="37"/>
  </w:num>
  <w:num w:numId="15">
    <w:abstractNumId w:val="22"/>
  </w:num>
  <w:num w:numId="16">
    <w:abstractNumId w:val="6"/>
  </w:num>
  <w:num w:numId="17">
    <w:abstractNumId w:val="9"/>
  </w:num>
  <w:num w:numId="18">
    <w:abstractNumId w:val="19"/>
  </w:num>
  <w:num w:numId="19">
    <w:abstractNumId w:val="12"/>
  </w:num>
  <w:num w:numId="20">
    <w:abstractNumId w:val="5"/>
  </w:num>
  <w:num w:numId="21">
    <w:abstractNumId w:val="11"/>
  </w:num>
  <w:num w:numId="22">
    <w:abstractNumId w:val="8"/>
  </w:num>
  <w:num w:numId="23">
    <w:abstractNumId w:val="28"/>
  </w:num>
  <w:num w:numId="24">
    <w:abstractNumId w:val="7"/>
  </w:num>
  <w:num w:numId="25">
    <w:abstractNumId w:val="15"/>
  </w:num>
  <w:num w:numId="26">
    <w:abstractNumId w:val="31"/>
  </w:num>
  <w:num w:numId="27">
    <w:abstractNumId w:val="4"/>
  </w:num>
  <w:num w:numId="28">
    <w:abstractNumId w:val="32"/>
  </w:num>
  <w:num w:numId="29">
    <w:abstractNumId w:val="1"/>
  </w:num>
  <w:num w:numId="30">
    <w:abstractNumId w:val="13"/>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1"/>
  </w:num>
  <w:num w:numId="34">
    <w:abstractNumId w:val="20"/>
  </w:num>
  <w:num w:numId="35">
    <w:abstractNumId w:val="3"/>
  </w:num>
  <w:num w:numId="36">
    <w:abstractNumId w:val="30"/>
  </w:num>
  <w:num w:numId="37">
    <w:abstractNumId w:val="35"/>
  </w:num>
  <w:num w:numId="38">
    <w:abstractNumId w:val="1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4983"/>
    <w:rsid w:val="00037AAD"/>
    <w:rsid w:val="00044295"/>
    <w:rsid w:val="00054FBE"/>
    <w:rsid w:val="00057D51"/>
    <w:rsid w:val="00063BF5"/>
    <w:rsid w:val="0007478F"/>
    <w:rsid w:val="00075B87"/>
    <w:rsid w:val="000B02A2"/>
    <w:rsid w:val="000B34BB"/>
    <w:rsid w:val="000B3732"/>
    <w:rsid w:val="000B3B70"/>
    <w:rsid w:val="000B7422"/>
    <w:rsid w:val="000C07B8"/>
    <w:rsid w:val="000D317C"/>
    <w:rsid w:val="000D6BC9"/>
    <w:rsid w:val="000E62F3"/>
    <w:rsid w:val="000E7740"/>
    <w:rsid w:val="000F4D6C"/>
    <w:rsid w:val="00115A52"/>
    <w:rsid w:val="00133371"/>
    <w:rsid w:val="00135CB5"/>
    <w:rsid w:val="001431B4"/>
    <w:rsid w:val="0014635F"/>
    <w:rsid w:val="00155C26"/>
    <w:rsid w:val="00180990"/>
    <w:rsid w:val="00185337"/>
    <w:rsid w:val="00196FDA"/>
    <w:rsid w:val="001B442D"/>
    <w:rsid w:val="001F6E69"/>
    <w:rsid w:val="00213840"/>
    <w:rsid w:val="00216D33"/>
    <w:rsid w:val="00226D83"/>
    <w:rsid w:val="0023749B"/>
    <w:rsid w:val="0023794A"/>
    <w:rsid w:val="0024335F"/>
    <w:rsid w:val="00252014"/>
    <w:rsid w:val="0025246C"/>
    <w:rsid w:val="0025297E"/>
    <w:rsid w:val="002554F9"/>
    <w:rsid w:val="00255846"/>
    <w:rsid w:val="00257918"/>
    <w:rsid w:val="00263AEE"/>
    <w:rsid w:val="00264E15"/>
    <w:rsid w:val="002665CE"/>
    <w:rsid w:val="00273091"/>
    <w:rsid w:val="00291C60"/>
    <w:rsid w:val="002A19F8"/>
    <w:rsid w:val="002B1247"/>
    <w:rsid w:val="002B77B9"/>
    <w:rsid w:val="002C1F04"/>
    <w:rsid w:val="002C405B"/>
    <w:rsid w:val="002C5191"/>
    <w:rsid w:val="002D68D3"/>
    <w:rsid w:val="002E6E08"/>
    <w:rsid w:val="0031718F"/>
    <w:rsid w:val="00342B0D"/>
    <w:rsid w:val="00360DDB"/>
    <w:rsid w:val="00367650"/>
    <w:rsid w:val="003765CC"/>
    <w:rsid w:val="003773FA"/>
    <w:rsid w:val="003A31C4"/>
    <w:rsid w:val="003A3C44"/>
    <w:rsid w:val="003B20FB"/>
    <w:rsid w:val="003B7056"/>
    <w:rsid w:val="003C2373"/>
    <w:rsid w:val="003D5564"/>
    <w:rsid w:val="003E63FD"/>
    <w:rsid w:val="003E7B47"/>
    <w:rsid w:val="003F3420"/>
    <w:rsid w:val="003F4980"/>
    <w:rsid w:val="0040037F"/>
    <w:rsid w:val="004117CC"/>
    <w:rsid w:val="00412ED4"/>
    <w:rsid w:val="00423D43"/>
    <w:rsid w:val="004302A7"/>
    <w:rsid w:val="0043639A"/>
    <w:rsid w:val="00451C6C"/>
    <w:rsid w:val="004544B8"/>
    <w:rsid w:val="00457434"/>
    <w:rsid w:val="00460681"/>
    <w:rsid w:val="004615A3"/>
    <w:rsid w:val="0046354E"/>
    <w:rsid w:val="004A0BBC"/>
    <w:rsid w:val="004B11B7"/>
    <w:rsid w:val="004B3F38"/>
    <w:rsid w:val="004B6E19"/>
    <w:rsid w:val="004D51F0"/>
    <w:rsid w:val="004F429E"/>
    <w:rsid w:val="0051426E"/>
    <w:rsid w:val="005179A6"/>
    <w:rsid w:val="00555A25"/>
    <w:rsid w:val="00560B38"/>
    <w:rsid w:val="005706E9"/>
    <w:rsid w:val="005760D6"/>
    <w:rsid w:val="00576825"/>
    <w:rsid w:val="00590DC6"/>
    <w:rsid w:val="00593CA0"/>
    <w:rsid w:val="005B04AC"/>
    <w:rsid w:val="005B1028"/>
    <w:rsid w:val="005B5449"/>
    <w:rsid w:val="005C246C"/>
    <w:rsid w:val="005D179F"/>
    <w:rsid w:val="005D1918"/>
    <w:rsid w:val="005D35D9"/>
    <w:rsid w:val="005E237C"/>
    <w:rsid w:val="005F1D51"/>
    <w:rsid w:val="005F3EA8"/>
    <w:rsid w:val="00617E6E"/>
    <w:rsid w:val="006324C8"/>
    <w:rsid w:val="00641F1C"/>
    <w:rsid w:val="00644905"/>
    <w:rsid w:val="006460A5"/>
    <w:rsid w:val="00666DD5"/>
    <w:rsid w:val="00677CC7"/>
    <w:rsid w:val="00696A1B"/>
    <w:rsid w:val="00697023"/>
    <w:rsid w:val="006A3BED"/>
    <w:rsid w:val="006B1C7C"/>
    <w:rsid w:val="006B2023"/>
    <w:rsid w:val="006B2394"/>
    <w:rsid w:val="006C06BC"/>
    <w:rsid w:val="006C2127"/>
    <w:rsid w:val="006E196B"/>
    <w:rsid w:val="006F0B57"/>
    <w:rsid w:val="006F6D85"/>
    <w:rsid w:val="007221BF"/>
    <w:rsid w:val="0072465A"/>
    <w:rsid w:val="007258AA"/>
    <w:rsid w:val="007316E2"/>
    <w:rsid w:val="00737DE0"/>
    <w:rsid w:val="00761316"/>
    <w:rsid w:val="00765628"/>
    <w:rsid w:val="007663CD"/>
    <w:rsid w:val="007A3780"/>
    <w:rsid w:val="007A4067"/>
    <w:rsid w:val="007B38FF"/>
    <w:rsid w:val="007C5A2D"/>
    <w:rsid w:val="007D2CD0"/>
    <w:rsid w:val="007D6622"/>
    <w:rsid w:val="007E443E"/>
    <w:rsid w:val="007E556C"/>
    <w:rsid w:val="007E6D31"/>
    <w:rsid w:val="00812BD4"/>
    <w:rsid w:val="00834D61"/>
    <w:rsid w:val="00836C55"/>
    <w:rsid w:val="00841FAE"/>
    <w:rsid w:val="00843837"/>
    <w:rsid w:val="00846CF0"/>
    <w:rsid w:val="00851885"/>
    <w:rsid w:val="00854870"/>
    <w:rsid w:val="00856DA9"/>
    <w:rsid w:val="00863BCE"/>
    <w:rsid w:val="00873E73"/>
    <w:rsid w:val="0088306B"/>
    <w:rsid w:val="0088596F"/>
    <w:rsid w:val="0088600A"/>
    <w:rsid w:val="00886106"/>
    <w:rsid w:val="00886A9B"/>
    <w:rsid w:val="008877D6"/>
    <w:rsid w:val="00891B1A"/>
    <w:rsid w:val="0089348D"/>
    <w:rsid w:val="008934AE"/>
    <w:rsid w:val="008A4173"/>
    <w:rsid w:val="008B1BD2"/>
    <w:rsid w:val="008B6960"/>
    <w:rsid w:val="008C1AC8"/>
    <w:rsid w:val="008C6D03"/>
    <w:rsid w:val="008F01BC"/>
    <w:rsid w:val="008F7123"/>
    <w:rsid w:val="00900DF6"/>
    <w:rsid w:val="0090489A"/>
    <w:rsid w:val="00904B97"/>
    <w:rsid w:val="00910D6B"/>
    <w:rsid w:val="00917302"/>
    <w:rsid w:val="00921B5D"/>
    <w:rsid w:val="009234D4"/>
    <w:rsid w:val="009423A6"/>
    <w:rsid w:val="0094615D"/>
    <w:rsid w:val="009553DB"/>
    <w:rsid w:val="00973612"/>
    <w:rsid w:val="00983998"/>
    <w:rsid w:val="0098436C"/>
    <w:rsid w:val="00990731"/>
    <w:rsid w:val="009D1749"/>
    <w:rsid w:val="009F71C7"/>
    <w:rsid w:val="00A01A27"/>
    <w:rsid w:val="00A02B17"/>
    <w:rsid w:val="00A118F1"/>
    <w:rsid w:val="00A15E81"/>
    <w:rsid w:val="00A16858"/>
    <w:rsid w:val="00A21FAA"/>
    <w:rsid w:val="00A572A6"/>
    <w:rsid w:val="00A7568E"/>
    <w:rsid w:val="00A82F1F"/>
    <w:rsid w:val="00A82F58"/>
    <w:rsid w:val="00A87EC3"/>
    <w:rsid w:val="00A912EA"/>
    <w:rsid w:val="00A9163C"/>
    <w:rsid w:val="00A95FA8"/>
    <w:rsid w:val="00A974C0"/>
    <w:rsid w:val="00AA1529"/>
    <w:rsid w:val="00AA27DC"/>
    <w:rsid w:val="00AA3E07"/>
    <w:rsid w:val="00AC0D1C"/>
    <w:rsid w:val="00AC13DF"/>
    <w:rsid w:val="00AC3573"/>
    <w:rsid w:val="00AC7379"/>
    <w:rsid w:val="00AD434A"/>
    <w:rsid w:val="00AD605E"/>
    <w:rsid w:val="00AE6BC4"/>
    <w:rsid w:val="00AF0CBD"/>
    <w:rsid w:val="00AF765E"/>
    <w:rsid w:val="00B05E70"/>
    <w:rsid w:val="00B06CD3"/>
    <w:rsid w:val="00B17100"/>
    <w:rsid w:val="00B2326C"/>
    <w:rsid w:val="00B27D4E"/>
    <w:rsid w:val="00B344BC"/>
    <w:rsid w:val="00B41096"/>
    <w:rsid w:val="00B535C1"/>
    <w:rsid w:val="00B54909"/>
    <w:rsid w:val="00B56270"/>
    <w:rsid w:val="00B66585"/>
    <w:rsid w:val="00B7341F"/>
    <w:rsid w:val="00B828BD"/>
    <w:rsid w:val="00B940D5"/>
    <w:rsid w:val="00BB1CE1"/>
    <w:rsid w:val="00BB3A51"/>
    <w:rsid w:val="00BC2DC1"/>
    <w:rsid w:val="00BC7C33"/>
    <w:rsid w:val="00BD6430"/>
    <w:rsid w:val="00BF4CDD"/>
    <w:rsid w:val="00C05515"/>
    <w:rsid w:val="00C12442"/>
    <w:rsid w:val="00C15223"/>
    <w:rsid w:val="00C17D99"/>
    <w:rsid w:val="00C27123"/>
    <w:rsid w:val="00C32973"/>
    <w:rsid w:val="00C37C04"/>
    <w:rsid w:val="00C44E1F"/>
    <w:rsid w:val="00C526AC"/>
    <w:rsid w:val="00C702F6"/>
    <w:rsid w:val="00C77E0A"/>
    <w:rsid w:val="00C94AD2"/>
    <w:rsid w:val="00C964B6"/>
    <w:rsid w:val="00C97960"/>
    <w:rsid w:val="00CA5B48"/>
    <w:rsid w:val="00CE49A0"/>
    <w:rsid w:val="00CE4A76"/>
    <w:rsid w:val="00CF116A"/>
    <w:rsid w:val="00D0544A"/>
    <w:rsid w:val="00D17E86"/>
    <w:rsid w:val="00D32F62"/>
    <w:rsid w:val="00D340E1"/>
    <w:rsid w:val="00D349F1"/>
    <w:rsid w:val="00D524F5"/>
    <w:rsid w:val="00D57F8A"/>
    <w:rsid w:val="00D637C9"/>
    <w:rsid w:val="00D6416E"/>
    <w:rsid w:val="00D67046"/>
    <w:rsid w:val="00D77907"/>
    <w:rsid w:val="00DB268A"/>
    <w:rsid w:val="00DB6290"/>
    <w:rsid w:val="00DC2CBE"/>
    <w:rsid w:val="00DC6B7D"/>
    <w:rsid w:val="00DD3BB0"/>
    <w:rsid w:val="00DD7C04"/>
    <w:rsid w:val="00DF6447"/>
    <w:rsid w:val="00DF7861"/>
    <w:rsid w:val="00E10608"/>
    <w:rsid w:val="00E37DC3"/>
    <w:rsid w:val="00E42FF3"/>
    <w:rsid w:val="00E47A58"/>
    <w:rsid w:val="00E51C23"/>
    <w:rsid w:val="00E62922"/>
    <w:rsid w:val="00E7097F"/>
    <w:rsid w:val="00E847FF"/>
    <w:rsid w:val="00E87436"/>
    <w:rsid w:val="00E934EE"/>
    <w:rsid w:val="00EA49FB"/>
    <w:rsid w:val="00EC236F"/>
    <w:rsid w:val="00EC6141"/>
    <w:rsid w:val="00ED00CF"/>
    <w:rsid w:val="00ED4C8B"/>
    <w:rsid w:val="00EF1EDD"/>
    <w:rsid w:val="00F03BF9"/>
    <w:rsid w:val="00F05D18"/>
    <w:rsid w:val="00F065F4"/>
    <w:rsid w:val="00F105D8"/>
    <w:rsid w:val="00F34ED1"/>
    <w:rsid w:val="00F356DB"/>
    <w:rsid w:val="00F37D80"/>
    <w:rsid w:val="00F400EF"/>
    <w:rsid w:val="00F41E74"/>
    <w:rsid w:val="00F42A0D"/>
    <w:rsid w:val="00F4336A"/>
    <w:rsid w:val="00F54543"/>
    <w:rsid w:val="00F5654F"/>
    <w:rsid w:val="00F6205C"/>
    <w:rsid w:val="00F647B0"/>
    <w:rsid w:val="00F714D1"/>
    <w:rsid w:val="00F74527"/>
    <w:rsid w:val="00F802CE"/>
    <w:rsid w:val="00F92416"/>
    <w:rsid w:val="00F94CB4"/>
    <w:rsid w:val="00FA3D03"/>
    <w:rsid w:val="00FD6698"/>
    <w:rsid w:val="00FD670D"/>
    <w:rsid w:val="00FD6A17"/>
    <w:rsid w:val="00FE46F4"/>
    <w:rsid w:val="00FE534E"/>
    <w:rsid w:val="00FF23B7"/>
    <w:rsid w:val="00FF6121"/>
    <w:rsid w:val="00FF6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5C1"/>
  </w:style>
  <w:style w:type="paragraph" w:styleId="Titre1">
    <w:name w:val="heading 1"/>
    <w:basedOn w:val="Normal"/>
    <w:next w:val="Normal"/>
    <w:link w:val="Titre1Car"/>
    <w:uiPriority w:val="9"/>
    <w:qFormat/>
    <w:rsid w:val="00834D61"/>
    <w:pPr>
      <w:keepNext/>
      <w:spacing w:before="120" w:after="0"/>
      <w:outlineLvl w:val="0"/>
    </w:pPr>
    <w:rPr>
      <w:rFonts w:ascii="Arial Narrow" w:eastAsia="Lucida Sans Unicode" w:hAnsi="Arial Narrow" w:cs="Arial"/>
      <w:b/>
    </w:rPr>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paragraph" w:customStyle="1" w:styleId="Default">
    <w:name w:val="Default"/>
    <w:qFormat/>
    <w:rsid w:val="00263AEE"/>
    <w:pPr>
      <w:spacing w:after="0" w:line="240" w:lineRule="auto"/>
    </w:pPr>
    <w:rPr>
      <w:rFonts w:ascii="Garamond" w:eastAsia="Calibri" w:hAnsi="Garamond" w:cs="Garamond"/>
      <w:color w:val="000000"/>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B3A51"/>
  </w:style>
  <w:style w:type="character" w:customStyle="1" w:styleId="Titre1Car">
    <w:name w:val="Titre 1 Car"/>
    <w:basedOn w:val="Policepardfaut"/>
    <w:link w:val="Titre1"/>
    <w:uiPriority w:val="9"/>
    <w:rsid w:val="00834D61"/>
    <w:rPr>
      <w:rFonts w:ascii="Arial Narrow" w:eastAsia="Lucida Sans Unicode" w:hAnsi="Arial Narrow"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22477">
      <w:bodyDiv w:val="1"/>
      <w:marLeft w:val="0"/>
      <w:marRight w:val="0"/>
      <w:marTop w:val="0"/>
      <w:marBottom w:val="0"/>
      <w:divBdr>
        <w:top w:val="none" w:sz="0" w:space="0" w:color="auto"/>
        <w:left w:val="none" w:sz="0" w:space="0" w:color="auto"/>
        <w:bottom w:val="none" w:sz="0" w:space="0" w:color="auto"/>
        <w:right w:val="none" w:sz="0" w:space="0" w:color="auto"/>
      </w:divBdr>
    </w:div>
    <w:div w:id="1246382484">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778715991">
      <w:bodyDiv w:val="1"/>
      <w:marLeft w:val="0"/>
      <w:marRight w:val="0"/>
      <w:marTop w:val="0"/>
      <w:marBottom w:val="0"/>
      <w:divBdr>
        <w:top w:val="none" w:sz="0" w:space="0" w:color="auto"/>
        <w:left w:val="none" w:sz="0" w:space="0" w:color="auto"/>
        <w:bottom w:val="none" w:sz="0" w:space="0" w:color="auto"/>
        <w:right w:val="none" w:sz="0" w:space="0" w:color="auto"/>
      </w:divBdr>
    </w:div>
    <w:div w:id="188351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0E01BB"/>
    <w:rsid w:val="001118BC"/>
    <w:rsid w:val="00167FB5"/>
    <w:rsid w:val="001E030C"/>
    <w:rsid w:val="00381B08"/>
    <w:rsid w:val="003A3798"/>
    <w:rsid w:val="00436CDB"/>
    <w:rsid w:val="004F703F"/>
    <w:rsid w:val="005463A9"/>
    <w:rsid w:val="00555FA2"/>
    <w:rsid w:val="005A3E7F"/>
    <w:rsid w:val="00877990"/>
    <w:rsid w:val="00933120"/>
    <w:rsid w:val="00993A68"/>
    <w:rsid w:val="00AA1331"/>
    <w:rsid w:val="00B246C6"/>
    <w:rsid w:val="00CD61D9"/>
    <w:rsid w:val="00D0679B"/>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72ED3-60AE-454C-8C0C-713FC94D6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11</Pages>
  <Words>3155</Words>
  <Characters>17355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21</cp:revision>
  <cp:lastPrinted>2023-10-03T12:00:00Z</cp:lastPrinted>
  <dcterms:created xsi:type="dcterms:W3CDTF">2025-04-24T08:38:00Z</dcterms:created>
  <dcterms:modified xsi:type="dcterms:W3CDTF">2025-07-01T07:24:00Z</dcterms:modified>
</cp:coreProperties>
</file>